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940DE" w14:textId="3858CF86"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2849D4">
        <w:rPr>
          <w:rFonts w:ascii="Arial" w:eastAsia="SimSun" w:hAnsi="Arial" w:cs="Times New Roman"/>
          <w:b/>
          <w:sz w:val="24"/>
          <w:szCs w:val="20"/>
          <w:lang w:val="en-US"/>
        </w:rPr>
        <w:t>1</w:t>
      </w:r>
      <w:r w:rsidRPr="00614DD8">
        <w:rPr>
          <w:rFonts w:ascii="Arial" w:eastAsia="SimSun" w:hAnsi="Arial" w:cs="Times New Roman"/>
          <w:b/>
          <w:bCs/>
          <w:sz w:val="24"/>
          <w:szCs w:val="20"/>
          <w:lang w:val="en-US"/>
        </w:rPr>
        <w:tab/>
      </w:r>
      <w:r w:rsidR="00632087" w:rsidRPr="00632087">
        <w:rPr>
          <w:rFonts w:ascii="Arial" w:eastAsia="SimSun" w:hAnsi="Arial" w:cs="Times New Roman"/>
          <w:b/>
          <w:bCs/>
          <w:sz w:val="24"/>
          <w:szCs w:val="20"/>
          <w:lang w:val="en-US" w:eastAsia="ja-JP"/>
        </w:rPr>
        <w:t>R4-2408511</w:t>
      </w:r>
    </w:p>
    <w:p w14:paraId="267A77E4" w14:textId="77777777"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4356273E"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B2C3EF4"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4B77F0C7" w14:textId="08827C28" w:rsidR="00841BCD" w:rsidRPr="0049393F" w:rsidRDefault="00841BCD" w:rsidP="00841BCD">
      <w:pPr>
        <w:ind w:left="1985" w:hanging="1985"/>
        <w:rPr>
          <w:rFonts w:ascii="Arial" w:eastAsia="Calibri" w:hAnsi="Arial" w:cs="Arial"/>
          <w:b/>
          <w:bCs/>
          <w:sz w:val="24"/>
        </w:rPr>
      </w:pPr>
      <w:r w:rsidRPr="0049393F">
        <w:rPr>
          <w:rFonts w:ascii="Arial" w:eastAsia="Calibri" w:hAnsi="Arial" w:cs="Arial"/>
          <w:b/>
          <w:bCs/>
          <w:sz w:val="24"/>
        </w:rPr>
        <w:t>Title:</w:t>
      </w:r>
      <w:r w:rsidRPr="0049393F">
        <w:rPr>
          <w:rFonts w:ascii="Arial" w:eastAsia="Calibri" w:hAnsi="Arial" w:cs="Arial"/>
          <w:b/>
          <w:bCs/>
          <w:sz w:val="24"/>
        </w:rPr>
        <w:tab/>
      </w:r>
      <w:proofErr w:type="spellStart"/>
      <w:r w:rsidR="007B7198">
        <w:rPr>
          <w:rFonts w:ascii="Arial" w:eastAsia="Calibri" w:hAnsi="Arial" w:cs="Arial"/>
          <w:b/>
          <w:bCs/>
          <w:sz w:val="24"/>
        </w:rPr>
        <w:t>Dicussion</w:t>
      </w:r>
      <w:proofErr w:type="spellEnd"/>
      <w:r w:rsidR="007B7198">
        <w:rPr>
          <w:rFonts w:ascii="Arial" w:eastAsia="Calibri" w:hAnsi="Arial" w:cs="Arial"/>
          <w:b/>
          <w:bCs/>
          <w:sz w:val="24"/>
        </w:rPr>
        <w:t xml:space="preserve"> </w:t>
      </w:r>
      <w:r w:rsidR="00522856">
        <w:rPr>
          <w:rFonts w:ascii="Arial" w:eastAsia="Calibri" w:hAnsi="Arial" w:cs="Arial"/>
          <w:b/>
          <w:bCs/>
          <w:sz w:val="24"/>
        </w:rPr>
        <w:t xml:space="preserve">on </w:t>
      </w:r>
      <w:r w:rsidR="0054577E">
        <w:rPr>
          <w:rFonts w:ascii="Arial" w:eastAsia="Calibri" w:hAnsi="Arial" w:cs="Arial"/>
          <w:b/>
          <w:bCs/>
          <w:sz w:val="24"/>
        </w:rPr>
        <w:t>UE RX-TX Time measurements</w:t>
      </w:r>
    </w:p>
    <w:p w14:paraId="535CEFD6" w14:textId="5F796738" w:rsidR="00841BCD" w:rsidRPr="007B7198" w:rsidRDefault="00841BCD" w:rsidP="00841BCD">
      <w:pPr>
        <w:tabs>
          <w:tab w:val="left" w:pos="1985"/>
        </w:tabs>
        <w:spacing w:after="120" w:line="240" w:lineRule="auto"/>
        <w:rPr>
          <w:rFonts w:ascii="Arial" w:eastAsia="MS Mincho" w:hAnsi="Arial" w:cs="Arial"/>
          <w:b/>
          <w:bCs/>
          <w:sz w:val="24"/>
          <w:szCs w:val="20"/>
        </w:rPr>
      </w:pPr>
      <w:r w:rsidRPr="007B7198">
        <w:rPr>
          <w:rFonts w:ascii="Arial" w:eastAsia="MS Mincho" w:hAnsi="Arial" w:cs="Arial"/>
          <w:b/>
          <w:bCs/>
          <w:sz w:val="24"/>
          <w:szCs w:val="20"/>
        </w:rPr>
        <w:t>Agenda item:</w:t>
      </w:r>
      <w:r w:rsidRPr="007B7198">
        <w:rPr>
          <w:rFonts w:ascii="Arial" w:eastAsia="MS Mincho" w:hAnsi="Arial" w:cs="Arial"/>
          <w:b/>
          <w:bCs/>
          <w:sz w:val="24"/>
          <w:szCs w:val="20"/>
        </w:rPr>
        <w:tab/>
      </w:r>
      <w:r w:rsidR="00667F53">
        <w:rPr>
          <w:rFonts w:ascii="Arial" w:eastAsia="MS Mincho" w:hAnsi="Arial" w:cs="Arial"/>
          <w:b/>
          <w:bCs/>
          <w:sz w:val="24"/>
          <w:szCs w:val="20"/>
        </w:rPr>
        <w:t>7.16.</w:t>
      </w:r>
      <w:r w:rsidR="00C238E7">
        <w:rPr>
          <w:rFonts w:ascii="Arial" w:eastAsia="MS Mincho" w:hAnsi="Arial" w:cs="Arial"/>
          <w:b/>
          <w:bCs/>
          <w:sz w:val="24"/>
          <w:szCs w:val="20"/>
        </w:rPr>
        <w:t>6</w:t>
      </w:r>
      <w:r w:rsidR="00667F53">
        <w:rPr>
          <w:rFonts w:ascii="Arial" w:eastAsia="MS Mincho" w:hAnsi="Arial" w:cs="Arial"/>
          <w:b/>
          <w:bCs/>
          <w:sz w:val="24"/>
          <w:szCs w:val="20"/>
        </w:rPr>
        <w:t>.</w:t>
      </w:r>
      <w:r w:rsidR="00FE4BB0">
        <w:rPr>
          <w:rFonts w:ascii="Arial" w:eastAsia="MS Mincho" w:hAnsi="Arial" w:cs="Arial"/>
          <w:b/>
          <w:bCs/>
          <w:sz w:val="24"/>
          <w:szCs w:val="20"/>
        </w:rPr>
        <w:t>2</w:t>
      </w:r>
    </w:p>
    <w:p w14:paraId="2F69D403"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09F746D1" w14:textId="77777777" w:rsidR="00E323E9" w:rsidRPr="00614DD8" w:rsidRDefault="00E323E9" w:rsidP="00841BCD">
      <w:pPr>
        <w:tabs>
          <w:tab w:val="left" w:pos="1985"/>
        </w:tabs>
        <w:rPr>
          <w:rFonts w:ascii="Arial" w:eastAsia="Calibri" w:hAnsi="Arial" w:cs="Arial"/>
          <w:b/>
          <w:bCs/>
          <w:sz w:val="24"/>
          <w:lang w:val="en-US"/>
        </w:rPr>
      </w:pPr>
    </w:p>
    <w:p w14:paraId="6E647D97"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32AD07A2" w14:textId="77777777" w:rsidR="00FA058E" w:rsidRPr="008C39F7" w:rsidRDefault="00FA058E" w:rsidP="00FA058E">
      <w:bookmarkStart w:id="4" w:name="_Toc116995842"/>
      <w:r w:rsidRPr="00031914">
        <w:t xml:space="preserve">The NTN WI, as presented in [1], includes </w:t>
      </w:r>
      <w:r>
        <w:t>objectives for the NTN enhancements in Rel-18, including the introduction of a feature of network verified UE location.:</w:t>
      </w:r>
    </w:p>
    <w:p w14:paraId="330A97C3" w14:textId="77777777" w:rsidR="00FA058E" w:rsidRDefault="00FA058E" w:rsidP="00FA058E"/>
    <w:tbl>
      <w:tblPr>
        <w:tblStyle w:val="TableGrid"/>
        <w:tblW w:w="0" w:type="auto"/>
        <w:jc w:val="center"/>
        <w:tblLook w:val="04A0" w:firstRow="1" w:lastRow="0" w:firstColumn="1" w:lastColumn="0" w:noHBand="0" w:noVBand="1"/>
      </w:tblPr>
      <w:tblGrid>
        <w:gridCol w:w="9000"/>
      </w:tblGrid>
      <w:tr w:rsidR="00FA058E" w:rsidRPr="008C39F7" w14:paraId="65D4CCA9" w14:textId="77777777" w:rsidTr="00403B3A">
        <w:trPr>
          <w:jc w:val="center"/>
        </w:trPr>
        <w:tc>
          <w:tcPr>
            <w:tcW w:w="9000" w:type="dxa"/>
          </w:tcPr>
          <w:p w14:paraId="386CD960" w14:textId="77777777" w:rsidR="00FA058E" w:rsidRDefault="00FA058E" w:rsidP="00403B3A">
            <w:pPr>
              <w:rPr>
                <w:bCs/>
              </w:rPr>
            </w:pPr>
            <w:r>
              <w:rPr>
                <w:bCs/>
              </w:rPr>
              <w:t>4.1.3</w:t>
            </w:r>
            <w:r>
              <w:rPr>
                <w:bCs/>
              </w:rPr>
              <w:tab/>
              <w:t xml:space="preserve">Network verified UE </w:t>
            </w:r>
            <w:proofErr w:type="gramStart"/>
            <w:r>
              <w:rPr>
                <w:bCs/>
              </w:rPr>
              <w:t>location</w:t>
            </w:r>
            <w:proofErr w:type="gramEnd"/>
          </w:p>
          <w:p w14:paraId="42DC00EE" w14:textId="77777777" w:rsidR="00FA058E" w:rsidRDefault="00FA058E" w:rsidP="00403B3A">
            <w:pPr>
              <w:rPr>
                <w:bCs/>
              </w:rPr>
            </w:pPr>
          </w:p>
          <w:p w14:paraId="0D1C8820" w14:textId="77777777" w:rsidR="00FA058E" w:rsidRDefault="00FA058E" w:rsidP="00403B3A">
            <w:pPr>
              <w:rPr>
                <w:bCs/>
                <w:highlight w:val="yellow"/>
              </w:rPr>
            </w:pPr>
          </w:p>
          <w:p w14:paraId="1A9EE90D" w14:textId="77777777" w:rsidR="00FA058E" w:rsidRDefault="00FA058E" w:rsidP="00403B3A">
            <w:pPr>
              <w:rPr>
                <w:bCs/>
              </w:rPr>
            </w:pPr>
            <w:r>
              <w:rPr>
                <w:bCs/>
              </w:rPr>
              <w:t>Based on RAN1 conclusions of the study phase, RAN to prioritize the specification of necessary enhancements to multi-RTT to support the network verified UE location in NTN assuming a single satellite in view [RAN1, 2, 3, 4]. DL-</w:t>
            </w:r>
            <w:proofErr w:type="spellStart"/>
            <w:r>
              <w:rPr>
                <w:bCs/>
              </w:rPr>
              <w:t>TDoA</w:t>
            </w:r>
            <w:proofErr w:type="spellEnd"/>
            <w:r>
              <w:rPr>
                <w:bCs/>
              </w:rPr>
              <w:t xml:space="preserve"> methods for verification may be considered as lower priority and if time permits and condition in Note is satisfied.</w:t>
            </w:r>
          </w:p>
          <w:p w14:paraId="5D5F5EC1" w14:textId="77777777" w:rsidR="00FA058E" w:rsidRDefault="00FA058E" w:rsidP="00403B3A">
            <w:pPr>
              <w:rPr>
                <w:bCs/>
              </w:rPr>
            </w:pPr>
          </w:p>
          <w:p w14:paraId="2EC2F372" w14:textId="77777777" w:rsidR="00FA058E" w:rsidRDefault="00FA058E" w:rsidP="00403B3A">
            <w:pPr>
              <w:rPr>
                <w:bCs/>
              </w:rPr>
            </w:pPr>
            <w:r>
              <w:rPr>
                <w:bCs/>
              </w:rPr>
              <w:t xml:space="preserve">Note 1: Enhancements assume reuse of the RAT dependent positioning </w:t>
            </w:r>
            <w:proofErr w:type="gramStart"/>
            <w:r>
              <w:rPr>
                <w:bCs/>
              </w:rPr>
              <w:t>framework</w:t>
            </w:r>
            <w:proofErr w:type="gramEnd"/>
          </w:p>
          <w:p w14:paraId="08023462" w14:textId="77777777" w:rsidR="00FA058E" w:rsidRDefault="00FA058E" w:rsidP="00403B3A">
            <w:pPr>
              <w:rPr>
                <w:bCs/>
              </w:rPr>
            </w:pPr>
            <w:r>
              <w:rPr>
                <w:bCs/>
              </w:rPr>
              <w:t xml:space="preserve">Note 2: The specification of DL-TDOA enhancements will be subject to the study of the impact of realistic UE clock drift onto DL-TDOA </w:t>
            </w:r>
            <w:proofErr w:type="gramStart"/>
            <w:r>
              <w:rPr>
                <w:bCs/>
              </w:rPr>
              <w:t>performance</w:t>
            </w:r>
            <w:proofErr w:type="gramEnd"/>
          </w:p>
          <w:p w14:paraId="57A05084" w14:textId="77777777" w:rsidR="00FA058E" w:rsidRDefault="00FA058E" w:rsidP="00403B3A">
            <w:pPr>
              <w:rPr>
                <w:bCs/>
              </w:rPr>
            </w:pPr>
            <w:r>
              <w:rPr>
                <w:bCs/>
              </w:rPr>
              <w:t>Note 3: The target accuracy for position verification purposes is as documented in clause « recommendations » of the 3GPP TR 38.882 (i.e. 10 km granularity)</w:t>
            </w:r>
          </w:p>
          <w:p w14:paraId="3C3DCBA5" w14:textId="77777777" w:rsidR="00FA058E" w:rsidRDefault="00FA058E" w:rsidP="00403B3A">
            <w:pPr>
              <w:rPr>
                <w:bCs/>
              </w:rPr>
            </w:pPr>
            <w:r>
              <w:rPr>
                <w:bCs/>
              </w:rPr>
              <w:t xml:space="preserve">Note 4 : Multiple satellite in view by the UE may be considered if time </w:t>
            </w:r>
            <w:proofErr w:type="gramStart"/>
            <w:r>
              <w:rPr>
                <w:bCs/>
              </w:rPr>
              <w:t>allows</w:t>
            </w:r>
            <w:proofErr w:type="gramEnd"/>
          </w:p>
          <w:p w14:paraId="29BA3DCD" w14:textId="77777777" w:rsidR="00FA058E" w:rsidRDefault="00FA058E" w:rsidP="00403B3A">
            <w:pPr>
              <w:rPr>
                <w:bCs/>
              </w:rPr>
            </w:pPr>
            <w:r>
              <w:rPr>
                <w:bCs/>
              </w:rPr>
              <w:t xml:space="preserve">Note 5 : The enhancements may be subject to relevant SA WGs (e.g. SA3/SA3-LI) </w:t>
            </w:r>
            <w:proofErr w:type="gramStart"/>
            <w:r>
              <w:rPr>
                <w:bCs/>
              </w:rPr>
              <w:t>feedbacks</w:t>
            </w:r>
            <w:proofErr w:type="gramEnd"/>
            <w:r>
              <w:rPr>
                <w:bCs/>
              </w:rPr>
              <w:t xml:space="preserve"> on the reliability of UE reports involved</w:t>
            </w:r>
          </w:p>
          <w:p w14:paraId="68E1B88A" w14:textId="77777777" w:rsidR="00FA058E" w:rsidRDefault="00FA058E" w:rsidP="00403B3A">
            <w:pPr>
              <w:rPr>
                <w:bCs/>
              </w:rPr>
            </w:pPr>
            <w:r>
              <w:rPr>
                <w:bCs/>
              </w:rPr>
              <w:t xml:space="preserve">Note 6 : The enhancements should take into account the mirror-image </w:t>
            </w:r>
            <w:proofErr w:type="gramStart"/>
            <w:r>
              <w:rPr>
                <w:bCs/>
              </w:rPr>
              <w:t>ambiguity</w:t>
            </w:r>
            <w:proofErr w:type="gramEnd"/>
          </w:p>
          <w:p w14:paraId="36716285" w14:textId="77777777" w:rsidR="00FA058E" w:rsidRDefault="00FA058E" w:rsidP="00403B3A">
            <w:pPr>
              <w:rPr>
                <w:bCs/>
              </w:rPr>
            </w:pPr>
            <w:r>
              <w:rPr>
                <w:bCs/>
              </w:rPr>
              <w:t xml:space="preserve">Note 7 : Network verified UE location is an optional UE </w:t>
            </w:r>
            <w:proofErr w:type="gramStart"/>
            <w:r>
              <w:rPr>
                <w:bCs/>
              </w:rPr>
              <w:t>feature</w:t>
            </w:r>
            <w:proofErr w:type="gramEnd"/>
          </w:p>
          <w:p w14:paraId="36DD60BC" w14:textId="77777777" w:rsidR="00FA058E" w:rsidRPr="008C39F7" w:rsidRDefault="00FA058E" w:rsidP="00403B3A"/>
        </w:tc>
      </w:tr>
    </w:tbl>
    <w:p w14:paraId="2FBC4A5C" w14:textId="77777777" w:rsidR="00FA058E" w:rsidRDefault="00FA058E" w:rsidP="00FA058E"/>
    <w:p w14:paraId="657D7287" w14:textId="152D23B0" w:rsidR="00FA058E" w:rsidRDefault="00FA058E" w:rsidP="00FA058E">
      <w:r>
        <w:t xml:space="preserve">The present document will discuss maintenance aspects related to the agreements made for this topic and current open issues that can be found in </w:t>
      </w:r>
      <w:r>
        <w:fldChar w:fldCharType="begin"/>
      </w:r>
      <w:r>
        <w:instrText xml:space="preserve"> REF _Ref166075839 \r \h </w:instrText>
      </w:r>
      <w:r>
        <w:fldChar w:fldCharType="separate"/>
      </w:r>
      <w:r>
        <w:t>[2]</w:t>
      </w:r>
      <w:r>
        <w:fldChar w:fldCharType="end"/>
      </w:r>
      <w:r>
        <w:t>, such as:</w:t>
      </w:r>
    </w:p>
    <w:p w14:paraId="189F8D59" w14:textId="77777777" w:rsidR="00FA058E" w:rsidRDefault="00FA058E" w:rsidP="00FA058E">
      <w:pPr>
        <w:pStyle w:val="ListParagraph"/>
        <w:numPr>
          <w:ilvl w:val="0"/>
          <w:numId w:val="30"/>
        </w:numPr>
      </w:pPr>
      <w:r>
        <w:t>The impact of satellite switching with re-sync</w:t>
      </w:r>
    </w:p>
    <w:p w14:paraId="3BFE3CD0" w14:textId="77777777" w:rsidR="00FA058E" w:rsidRPr="00FB0590" w:rsidRDefault="00FA058E" w:rsidP="00FA058E">
      <w:pPr>
        <w:pStyle w:val="ListParagraph"/>
        <w:numPr>
          <w:ilvl w:val="0"/>
          <w:numId w:val="30"/>
        </w:numPr>
      </w:pPr>
      <w:r>
        <w:t>The impact of UE autonomous updates on Timing Advance, caused by UE specific TA or by Common TA variation.</w:t>
      </w:r>
    </w:p>
    <w:p w14:paraId="552434C0" w14:textId="575B048D" w:rsidR="004E7EC0" w:rsidRDefault="003B659E" w:rsidP="006308C2">
      <w:pPr>
        <w:pStyle w:val="RAN4H1"/>
        <w:rPr>
          <w:lang w:val="en-US"/>
        </w:rPr>
      </w:pPr>
      <w:r w:rsidRPr="00614DD8">
        <w:rPr>
          <w:lang w:val="en-US"/>
        </w:rPr>
        <w:t>Discussion</w:t>
      </w:r>
      <w:bookmarkEnd w:id="4"/>
    </w:p>
    <w:p w14:paraId="31377AFC" w14:textId="5DE20575" w:rsidR="00683C36" w:rsidRDefault="00FA058E" w:rsidP="00683C36">
      <w:pPr>
        <w:pStyle w:val="RAN4H2"/>
        <w:rPr>
          <w:lang w:val="en-US"/>
        </w:rPr>
      </w:pPr>
      <w:r>
        <w:rPr>
          <w:lang w:val="en-US"/>
        </w:rPr>
        <w:t>Impact of Satellite switching with re-synchronization</w:t>
      </w:r>
    </w:p>
    <w:p w14:paraId="1278C95F" w14:textId="4B2F1805" w:rsidR="00CA519F" w:rsidRDefault="00FA058E" w:rsidP="00683C36">
      <w:pPr>
        <w:rPr>
          <w:lang w:val="en-US"/>
        </w:rPr>
      </w:pPr>
      <w:r>
        <w:rPr>
          <w:lang w:val="en-US"/>
        </w:rPr>
        <w:t xml:space="preserve">In previous meeting RAN4 has discussed whether the change of the synchronization point would </w:t>
      </w:r>
      <w:r w:rsidR="000C3DDF">
        <w:rPr>
          <w:lang w:val="en-US"/>
        </w:rPr>
        <w:t xml:space="preserve">require the UE to restart the RX-TX measurement as to avoid ambiguity in the reporting sent towards the network: </w:t>
      </w:r>
    </w:p>
    <w:p w14:paraId="6BA25CC9" w14:textId="77777777" w:rsidR="000C3DDF" w:rsidRDefault="000C3DDF" w:rsidP="00683C36">
      <w:pPr>
        <w:rPr>
          <w:lang w:val="en-US"/>
        </w:rPr>
      </w:pPr>
    </w:p>
    <w:tbl>
      <w:tblPr>
        <w:tblStyle w:val="TableGrid"/>
        <w:tblW w:w="0" w:type="auto"/>
        <w:tblLook w:val="04A0" w:firstRow="1" w:lastRow="0" w:firstColumn="1" w:lastColumn="0" w:noHBand="0" w:noVBand="1"/>
      </w:tblPr>
      <w:tblGrid>
        <w:gridCol w:w="9617"/>
      </w:tblGrid>
      <w:tr w:rsidR="000C3DDF" w14:paraId="056C22F8" w14:textId="77777777" w:rsidTr="000C3DDF">
        <w:tc>
          <w:tcPr>
            <w:tcW w:w="9617" w:type="dxa"/>
          </w:tcPr>
          <w:p w14:paraId="3CB1623B" w14:textId="77777777" w:rsidR="000C3DDF" w:rsidRPr="000C27C6" w:rsidRDefault="000C3DDF" w:rsidP="000C3DDF">
            <w:pPr>
              <w:outlineLvl w:val="2"/>
              <w:rPr>
                <w:b/>
                <w:bCs/>
                <w:u w:val="single"/>
                <w:lang w:val="en-US" w:eastAsia="zh-CN"/>
              </w:rPr>
            </w:pPr>
            <w:r w:rsidRPr="000C27C6">
              <w:rPr>
                <w:b/>
                <w:u w:val="single"/>
                <w:lang w:eastAsia="ko-KR"/>
              </w:rPr>
              <w:t xml:space="preserve">Issue 3-5: </w:t>
            </w:r>
            <w:r w:rsidRPr="000C27C6">
              <w:rPr>
                <w:b/>
                <w:bCs/>
                <w:u w:val="single"/>
                <w:lang w:val="en-US" w:eastAsia="zh-CN"/>
              </w:rPr>
              <w:t>Other impact on RRM</w:t>
            </w:r>
          </w:p>
          <w:p w14:paraId="7C125742" w14:textId="77777777" w:rsidR="000C3DDF" w:rsidRPr="000C27C6" w:rsidRDefault="000C3DDF" w:rsidP="000C3DDF">
            <w:pPr>
              <w:spacing w:after="120" w:line="252" w:lineRule="auto"/>
              <w:ind w:firstLine="284"/>
              <w:rPr>
                <w:b/>
                <w:bCs/>
                <w:u w:val="single"/>
                <w:lang w:eastAsia="ja-JP"/>
              </w:rPr>
            </w:pPr>
            <w:r w:rsidRPr="000C27C6">
              <w:rPr>
                <w:b/>
                <w:bCs/>
                <w:highlight w:val="green"/>
                <w:u w:val="single"/>
                <w:lang w:eastAsia="ja-JP"/>
              </w:rPr>
              <w:t>Agreement (online):</w:t>
            </w:r>
          </w:p>
          <w:p w14:paraId="66AA7968" w14:textId="77777777" w:rsidR="000C3DDF" w:rsidRPr="00DD32B7" w:rsidRDefault="000C3DDF" w:rsidP="000C3DDF">
            <w:pPr>
              <w:pStyle w:val="ListParagraph"/>
              <w:numPr>
                <w:ilvl w:val="0"/>
                <w:numId w:val="28"/>
              </w:numPr>
              <w:overflowPunct w:val="0"/>
              <w:autoSpaceDE w:val="0"/>
              <w:autoSpaceDN w:val="0"/>
              <w:adjustRightInd w:val="0"/>
              <w:spacing w:after="120"/>
              <w:ind w:left="644"/>
              <w:contextualSpacing w:val="0"/>
              <w:textAlignment w:val="baseline"/>
              <w:rPr>
                <w:szCs w:val="21"/>
                <w:lang w:eastAsia="ja-JP"/>
              </w:rPr>
            </w:pPr>
            <w:r w:rsidRPr="00DD32B7">
              <w:rPr>
                <w:szCs w:val="21"/>
                <w:lang w:eastAsia="ja-JP"/>
              </w:rPr>
              <w:lastRenderedPageBreak/>
              <w:t xml:space="preserve">When UE switches to a new satellite switch with same PCI (through HO, </w:t>
            </w:r>
            <w:proofErr w:type="gramStart"/>
            <w:r w:rsidRPr="00DD32B7">
              <w:rPr>
                <w:szCs w:val="21"/>
                <w:lang w:eastAsia="ja-JP"/>
              </w:rPr>
              <w:t>CHO</w:t>
            </w:r>
            <w:proofErr w:type="gramEnd"/>
            <w:r w:rsidRPr="00DD32B7">
              <w:rPr>
                <w:szCs w:val="21"/>
                <w:lang w:eastAsia="ja-JP"/>
              </w:rPr>
              <w:t xml:space="preserve"> or satellite switch with re-sync for both hard and soft satellite switch), select one option from:</w:t>
            </w:r>
          </w:p>
          <w:p w14:paraId="3500837E" w14:textId="77777777" w:rsidR="000C3DDF" w:rsidRPr="00DD32B7" w:rsidRDefault="000C3DDF" w:rsidP="000C3DDF">
            <w:pPr>
              <w:pStyle w:val="ListParagraph"/>
              <w:numPr>
                <w:ilvl w:val="1"/>
                <w:numId w:val="28"/>
              </w:numPr>
              <w:overflowPunct w:val="0"/>
              <w:autoSpaceDE w:val="0"/>
              <w:autoSpaceDN w:val="0"/>
              <w:adjustRightInd w:val="0"/>
              <w:spacing w:after="120"/>
              <w:ind w:left="1364"/>
              <w:contextualSpacing w:val="0"/>
              <w:textAlignment w:val="baseline"/>
              <w:rPr>
                <w:szCs w:val="21"/>
                <w:lang w:eastAsia="ja-JP"/>
              </w:rPr>
            </w:pPr>
            <w:r w:rsidRPr="00DD32B7">
              <w:rPr>
                <w:szCs w:val="21"/>
                <w:lang w:eastAsia="ja-JP"/>
              </w:rPr>
              <w:t xml:space="preserve">Option 1a: UE stops the PRS measurement </w:t>
            </w:r>
            <w:r w:rsidRPr="00DD32B7">
              <w:rPr>
                <w:szCs w:val="21"/>
                <w:u w:val="single"/>
                <w:lang w:eastAsia="ja-JP"/>
              </w:rPr>
              <w:t xml:space="preserve">after </w:t>
            </w:r>
            <w:proofErr w:type="spellStart"/>
            <w:r w:rsidRPr="00DD32B7">
              <w:rPr>
                <w:szCs w:val="21"/>
                <w:u w:val="single"/>
                <w:lang w:eastAsia="ja-JP"/>
              </w:rPr>
              <w:t>t_service</w:t>
            </w:r>
            <w:proofErr w:type="spellEnd"/>
            <w:r w:rsidRPr="00DD32B7">
              <w:rPr>
                <w:szCs w:val="21"/>
                <w:u w:val="single"/>
                <w:lang w:eastAsia="ja-JP"/>
              </w:rPr>
              <w:t xml:space="preserve"> </w:t>
            </w:r>
            <w:r w:rsidRPr="00DD32B7">
              <w:rPr>
                <w:szCs w:val="21"/>
                <w:lang w:eastAsia="ja-JP"/>
              </w:rPr>
              <w:t xml:space="preserve">and restart the UE Rx-Tx time difference measurement </w:t>
            </w:r>
            <w:r w:rsidRPr="00DD32B7">
              <w:rPr>
                <w:szCs w:val="21"/>
              </w:rPr>
              <w:t xml:space="preserve">after </w:t>
            </w:r>
            <w:r w:rsidRPr="00DD32B7">
              <w:rPr>
                <w:szCs w:val="21"/>
                <w:lang w:eastAsia="ja-JP"/>
              </w:rPr>
              <w:t xml:space="preserve">switch is complete. </w:t>
            </w:r>
          </w:p>
          <w:p w14:paraId="6FC14426" w14:textId="77777777" w:rsidR="000C3DDF" w:rsidRPr="00DD32B7" w:rsidRDefault="000C3DDF" w:rsidP="000C3DDF">
            <w:pPr>
              <w:pStyle w:val="ListParagraph"/>
              <w:numPr>
                <w:ilvl w:val="2"/>
                <w:numId w:val="28"/>
              </w:numPr>
              <w:overflowPunct w:val="0"/>
              <w:autoSpaceDE w:val="0"/>
              <w:autoSpaceDN w:val="0"/>
              <w:adjustRightInd w:val="0"/>
              <w:spacing w:after="120"/>
              <w:ind w:left="1800"/>
              <w:contextualSpacing w:val="0"/>
              <w:textAlignment w:val="baseline"/>
              <w:rPr>
                <w:szCs w:val="21"/>
                <w:lang w:eastAsia="ja-JP"/>
              </w:rPr>
            </w:pPr>
            <w:r w:rsidRPr="00DD32B7">
              <w:rPr>
                <w:szCs w:val="21"/>
              </w:rPr>
              <w:t xml:space="preserve">The PRS configuration of the two satellites with the same PCI follows RAN1/2 </w:t>
            </w:r>
            <w:proofErr w:type="spellStart"/>
            <w:r w:rsidRPr="00DD32B7">
              <w:rPr>
                <w:szCs w:val="21"/>
              </w:rPr>
              <w:t>specficiaton</w:t>
            </w:r>
            <w:proofErr w:type="spellEnd"/>
            <w:r w:rsidRPr="00DD32B7">
              <w:rPr>
                <w:szCs w:val="21"/>
              </w:rPr>
              <w:t xml:space="preserve">, and no further restriction for </w:t>
            </w:r>
            <w:proofErr w:type="spellStart"/>
            <w:r w:rsidRPr="00DD32B7">
              <w:rPr>
                <w:szCs w:val="21"/>
              </w:rPr>
              <w:t>gNB</w:t>
            </w:r>
            <w:proofErr w:type="spellEnd"/>
            <w:r w:rsidRPr="00DD32B7">
              <w:rPr>
                <w:szCs w:val="21"/>
              </w:rPr>
              <w:t>/LMF to be defined in RAN4.</w:t>
            </w:r>
          </w:p>
          <w:p w14:paraId="64605BAA" w14:textId="77777777" w:rsidR="000C3DDF" w:rsidRPr="00DD32B7" w:rsidRDefault="000C3DDF" w:rsidP="000C3DDF">
            <w:pPr>
              <w:pStyle w:val="ListParagraph"/>
              <w:numPr>
                <w:ilvl w:val="2"/>
                <w:numId w:val="28"/>
              </w:numPr>
              <w:overflowPunct w:val="0"/>
              <w:autoSpaceDE w:val="0"/>
              <w:autoSpaceDN w:val="0"/>
              <w:adjustRightInd w:val="0"/>
              <w:spacing w:after="120"/>
              <w:ind w:left="1800"/>
              <w:contextualSpacing w:val="0"/>
              <w:textAlignment w:val="baseline"/>
              <w:rPr>
                <w:szCs w:val="21"/>
                <w:lang w:eastAsia="ja-JP"/>
              </w:rPr>
            </w:pPr>
            <w:r w:rsidRPr="00DD32B7">
              <w:rPr>
                <w:szCs w:val="21"/>
              </w:rPr>
              <w:t xml:space="preserve">The UE measurement accuracy </w:t>
            </w:r>
            <w:proofErr w:type="spellStart"/>
            <w:r w:rsidRPr="00DD32B7">
              <w:rPr>
                <w:szCs w:val="21"/>
              </w:rPr>
              <w:t>requiremet</w:t>
            </w:r>
            <w:proofErr w:type="spellEnd"/>
            <w:r w:rsidRPr="00DD32B7">
              <w:rPr>
                <w:szCs w:val="21"/>
              </w:rPr>
              <w:t xml:space="preserve"> does not apply if the PRS transmission from two </w:t>
            </w:r>
            <w:proofErr w:type="spellStart"/>
            <w:r w:rsidRPr="00DD32B7">
              <w:rPr>
                <w:szCs w:val="21"/>
              </w:rPr>
              <w:t>satelliates</w:t>
            </w:r>
            <w:proofErr w:type="spellEnd"/>
            <w:r w:rsidRPr="00DD32B7">
              <w:rPr>
                <w:szCs w:val="21"/>
              </w:rPr>
              <w:t xml:space="preserve"> overlap in time/frequency domain. Further clarify the definition of “overlapping” offline.</w:t>
            </w:r>
          </w:p>
          <w:p w14:paraId="5FA97E52" w14:textId="77777777" w:rsidR="000C3DDF" w:rsidRPr="00DD32B7" w:rsidRDefault="000C3DDF" w:rsidP="000C3DDF">
            <w:pPr>
              <w:pStyle w:val="ListParagraph"/>
              <w:numPr>
                <w:ilvl w:val="1"/>
                <w:numId w:val="28"/>
              </w:numPr>
              <w:overflowPunct w:val="0"/>
              <w:autoSpaceDE w:val="0"/>
              <w:autoSpaceDN w:val="0"/>
              <w:adjustRightInd w:val="0"/>
              <w:spacing w:after="120"/>
              <w:ind w:left="1364"/>
              <w:contextualSpacing w:val="0"/>
              <w:textAlignment w:val="baseline"/>
              <w:rPr>
                <w:szCs w:val="21"/>
                <w:lang w:eastAsia="ja-JP"/>
              </w:rPr>
            </w:pPr>
            <w:r w:rsidRPr="00DD32B7">
              <w:rPr>
                <w:szCs w:val="21"/>
                <w:lang w:eastAsia="ja-JP"/>
              </w:rPr>
              <w:t xml:space="preserve">Option 1b: UE stops the PRS measurement </w:t>
            </w:r>
            <w:r w:rsidRPr="00DD32B7">
              <w:rPr>
                <w:szCs w:val="21"/>
                <w:u w:val="single"/>
                <w:lang w:eastAsia="ja-JP"/>
              </w:rPr>
              <w:t xml:space="preserve">after </w:t>
            </w:r>
            <w:proofErr w:type="spellStart"/>
            <w:r w:rsidRPr="00DD32B7">
              <w:rPr>
                <w:szCs w:val="21"/>
                <w:u w:val="single"/>
                <w:lang w:eastAsia="ja-JP"/>
              </w:rPr>
              <w:t>t_servicestart</w:t>
            </w:r>
            <w:proofErr w:type="spellEnd"/>
            <w:r w:rsidRPr="00DD32B7">
              <w:rPr>
                <w:szCs w:val="21"/>
                <w:u w:val="single"/>
                <w:lang w:eastAsia="ja-JP"/>
              </w:rPr>
              <w:t xml:space="preserve"> </w:t>
            </w:r>
            <w:r w:rsidRPr="00DD32B7">
              <w:rPr>
                <w:szCs w:val="21"/>
                <w:lang w:eastAsia="ja-JP"/>
              </w:rPr>
              <w:t xml:space="preserve">and restart the UE Rx-Tx time difference measurement </w:t>
            </w:r>
            <w:r w:rsidRPr="00DD32B7">
              <w:rPr>
                <w:szCs w:val="21"/>
              </w:rPr>
              <w:t xml:space="preserve">after </w:t>
            </w:r>
            <w:r w:rsidRPr="00DD32B7">
              <w:rPr>
                <w:szCs w:val="21"/>
                <w:lang w:eastAsia="ja-JP"/>
              </w:rPr>
              <w:t xml:space="preserve">switch is complete. </w:t>
            </w:r>
          </w:p>
          <w:p w14:paraId="045FE968" w14:textId="77777777" w:rsidR="000C3DDF" w:rsidRPr="00DD32B7" w:rsidRDefault="000C3DDF" w:rsidP="000C3DDF">
            <w:pPr>
              <w:pStyle w:val="ListParagraph"/>
              <w:numPr>
                <w:ilvl w:val="2"/>
                <w:numId w:val="28"/>
              </w:numPr>
              <w:overflowPunct w:val="0"/>
              <w:autoSpaceDE w:val="0"/>
              <w:autoSpaceDN w:val="0"/>
              <w:adjustRightInd w:val="0"/>
              <w:spacing w:after="120"/>
              <w:ind w:left="1800"/>
              <w:contextualSpacing w:val="0"/>
              <w:textAlignment w:val="baseline"/>
              <w:rPr>
                <w:szCs w:val="21"/>
                <w:lang w:eastAsia="ja-JP"/>
              </w:rPr>
            </w:pPr>
            <w:r w:rsidRPr="00DD32B7">
              <w:rPr>
                <w:szCs w:val="21"/>
              </w:rPr>
              <w:t xml:space="preserve">The PRS configuration of the two satellites with the same PCI follows RAN1/2 </w:t>
            </w:r>
            <w:proofErr w:type="spellStart"/>
            <w:r w:rsidRPr="00DD32B7">
              <w:rPr>
                <w:szCs w:val="21"/>
              </w:rPr>
              <w:t>specficiaton</w:t>
            </w:r>
            <w:proofErr w:type="spellEnd"/>
            <w:r w:rsidRPr="00DD32B7">
              <w:rPr>
                <w:szCs w:val="21"/>
              </w:rPr>
              <w:t xml:space="preserve">, and no further restriction for </w:t>
            </w:r>
            <w:proofErr w:type="spellStart"/>
            <w:r w:rsidRPr="00DD32B7">
              <w:rPr>
                <w:szCs w:val="21"/>
              </w:rPr>
              <w:t>gNB</w:t>
            </w:r>
            <w:proofErr w:type="spellEnd"/>
            <w:r w:rsidRPr="00DD32B7">
              <w:rPr>
                <w:szCs w:val="21"/>
              </w:rPr>
              <w:t>/LMF to be defined in RAN4.</w:t>
            </w:r>
          </w:p>
          <w:p w14:paraId="6E89F78C" w14:textId="77777777" w:rsidR="000C3DDF" w:rsidRPr="00DD32B7" w:rsidRDefault="000C3DDF" w:rsidP="000C3DDF">
            <w:pPr>
              <w:pStyle w:val="ListParagraph"/>
              <w:numPr>
                <w:ilvl w:val="1"/>
                <w:numId w:val="28"/>
              </w:numPr>
              <w:overflowPunct w:val="0"/>
              <w:autoSpaceDE w:val="0"/>
              <w:autoSpaceDN w:val="0"/>
              <w:adjustRightInd w:val="0"/>
              <w:spacing w:after="120"/>
              <w:ind w:left="1364"/>
              <w:contextualSpacing w:val="0"/>
              <w:textAlignment w:val="baseline"/>
              <w:rPr>
                <w:szCs w:val="21"/>
                <w:lang w:eastAsia="ja-JP"/>
              </w:rPr>
            </w:pPr>
            <w:r w:rsidRPr="00DD32B7">
              <w:rPr>
                <w:szCs w:val="21"/>
                <w:lang w:eastAsia="ja-JP"/>
              </w:rPr>
              <w:t xml:space="preserve">Option 2: UE stops the PRS measurement </w:t>
            </w:r>
            <w:r w:rsidRPr="00DD32B7">
              <w:rPr>
                <w:szCs w:val="21"/>
                <w:u w:val="single"/>
                <w:lang w:eastAsia="ja-JP"/>
              </w:rPr>
              <w:t xml:space="preserve">after </w:t>
            </w:r>
            <w:proofErr w:type="spellStart"/>
            <w:r w:rsidRPr="00DD32B7">
              <w:rPr>
                <w:szCs w:val="21"/>
                <w:u w:val="single"/>
                <w:lang w:eastAsia="ja-JP"/>
              </w:rPr>
              <w:t>t_service</w:t>
            </w:r>
            <w:proofErr w:type="spellEnd"/>
            <w:r w:rsidRPr="00DD32B7">
              <w:rPr>
                <w:szCs w:val="21"/>
                <w:lang w:eastAsia="ja-JP"/>
              </w:rPr>
              <w:t xml:space="preserve"> and until LMF triggers new measurement.</w:t>
            </w:r>
          </w:p>
          <w:p w14:paraId="3DEA9B9D" w14:textId="77777777" w:rsidR="000C3DDF" w:rsidRPr="000C27C6" w:rsidRDefault="000C3DDF" w:rsidP="000C3DDF">
            <w:pPr>
              <w:spacing w:after="120" w:line="252" w:lineRule="auto"/>
              <w:ind w:firstLine="284"/>
              <w:rPr>
                <w:b/>
                <w:bCs/>
                <w:highlight w:val="green"/>
                <w:u w:val="single"/>
                <w:lang w:eastAsia="ja-JP"/>
              </w:rPr>
            </w:pPr>
          </w:p>
          <w:p w14:paraId="6C60A349" w14:textId="77777777" w:rsidR="000C3DDF" w:rsidRPr="00387BA6" w:rsidRDefault="000C3DDF" w:rsidP="000C3DDF">
            <w:pPr>
              <w:overflowPunct w:val="0"/>
              <w:autoSpaceDE w:val="0"/>
              <w:autoSpaceDN w:val="0"/>
              <w:adjustRightInd w:val="0"/>
              <w:spacing w:after="120"/>
              <w:ind w:firstLine="284"/>
              <w:textAlignment w:val="baseline"/>
              <w:rPr>
                <w:b/>
                <w:bCs/>
                <w:sz w:val="21"/>
                <w:szCs w:val="21"/>
                <w:highlight w:val="yellow"/>
                <w:lang w:eastAsia="ja-JP"/>
              </w:rPr>
            </w:pPr>
            <w:r w:rsidRPr="00387BA6">
              <w:rPr>
                <w:b/>
                <w:bCs/>
                <w:sz w:val="21"/>
                <w:szCs w:val="21"/>
                <w:highlight w:val="yellow"/>
              </w:rPr>
              <w:t>FFS (online):</w:t>
            </w:r>
          </w:p>
          <w:p w14:paraId="52650BC6" w14:textId="77777777" w:rsidR="000C3DDF" w:rsidRPr="000C27C6" w:rsidRDefault="000C3DDF" w:rsidP="000C3DDF">
            <w:pPr>
              <w:pStyle w:val="ListParagraph"/>
              <w:numPr>
                <w:ilvl w:val="0"/>
                <w:numId w:val="28"/>
              </w:numPr>
              <w:overflowPunct w:val="0"/>
              <w:autoSpaceDE w:val="0"/>
              <w:autoSpaceDN w:val="0"/>
              <w:adjustRightInd w:val="0"/>
              <w:spacing w:after="120"/>
              <w:ind w:left="644"/>
              <w:contextualSpacing w:val="0"/>
              <w:textAlignment w:val="baseline"/>
              <w:rPr>
                <w:szCs w:val="21"/>
                <w:highlight w:val="yellow"/>
                <w:lang w:eastAsia="ja-JP"/>
              </w:rPr>
            </w:pPr>
            <w:r w:rsidRPr="000C27C6">
              <w:rPr>
                <w:szCs w:val="21"/>
                <w:highlight w:val="yellow"/>
                <w:lang w:eastAsia="ja-JP"/>
              </w:rPr>
              <w:t xml:space="preserve">When UE switches to a new satellite switch with different PCI (through HO or CHO), </w:t>
            </w:r>
          </w:p>
          <w:p w14:paraId="09818645" w14:textId="77777777" w:rsidR="000C3DDF" w:rsidRPr="000C27C6" w:rsidRDefault="000C3DDF" w:rsidP="000C3DDF">
            <w:pPr>
              <w:pStyle w:val="ListParagraph"/>
              <w:numPr>
                <w:ilvl w:val="1"/>
                <w:numId w:val="28"/>
              </w:numPr>
              <w:overflowPunct w:val="0"/>
              <w:autoSpaceDE w:val="0"/>
              <w:autoSpaceDN w:val="0"/>
              <w:adjustRightInd w:val="0"/>
              <w:spacing w:after="120"/>
              <w:ind w:left="1364"/>
              <w:contextualSpacing w:val="0"/>
              <w:textAlignment w:val="baseline"/>
              <w:rPr>
                <w:szCs w:val="21"/>
                <w:highlight w:val="yellow"/>
                <w:lang w:eastAsia="ja-JP"/>
              </w:rPr>
            </w:pPr>
            <w:r w:rsidRPr="000C27C6">
              <w:rPr>
                <w:szCs w:val="21"/>
                <w:highlight w:val="yellow"/>
                <w:lang w:eastAsia="ja-JP"/>
              </w:rPr>
              <w:t>UE stops the PRS measurement for the source cell and re-start PRS measurement for the target cell after SRS (re)configuration on the target cell is complete.</w:t>
            </w:r>
          </w:p>
          <w:p w14:paraId="3031E6B3" w14:textId="77777777" w:rsidR="000C3DDF" w:rsidRDefault="000C3DDF" w:rsidP="00683C36"/>
        </w:tc>
      </w:tr>
    </w:tbl>
    <w:p w14:paraId="63418CBA" w14:textId="77777777" w:rsidR="000C3DDF" w:rsidRDefault="000C3DDF" w:rsidP="00683C36"/>
    <w:p w14:paraId="1356CC83" w14:textId="77777777" w:rsidR="000C3DDF" w:rsidRDefault="000C3DDF" w:rsidP="00683C36">
      <w:r>
        <w:t xml:space="preserve">The objective of the discussion is to avoid ambiguity at the network side. For achieving that it is important that the network unequivocally can distinguish whether the current report was collected under the serving or target satellite. </w:t>
      </w:r>
    </w:p>
    <w:p w14:paraId="0E4FB19A" w14:textId="00590132" w:rsidR="001F7DA6" w:rsidRDefault="0076323D" w:rsidP="001F7DA6">
      <w:pPr>
        <w:pStyle w:val="RAN4observation0"/>
      </w:pPr>
      <w:bookmarkStart w:id="5" w:name="_Toc166499449"/>
      <w:r>
        <w:t xml:space="preserve">RAN4 </w:t>
      </w:r>
      <w:proofErr w:type="gramStart"/>
      <w:r>
        <w:t>has to</w:t>
      </w:r>
      <w:proofErr w:type="gramEnd"/>
      <w:r w:rsidR="001F7DA6">
        <w:t xml:space="preserve"> guarantee that the network understands unequivocally whether the UE measurements were collected in the source or target satellites.</w:t>
      </w:r>
      <w:bookmarkEnd w:id="5"/>
      <w:r w:rsidR="001F7DA6">
        <w:t xml:space="preserve"> </w:t>
      </w:r>
    </w:p>
    <w:p w14:paraId="1900510E" w14:textId="3DC6067A" w:rsidR="000C3DDF" w:rsidRDefault="0076323D" w:rsidP="000C3DDF">
      <w:r>
        <w:t xml:space="preserve">The measurements collected in source and target </w:t>
      </w:r>
      <w:proofErr w:type="spellStart"/>
      <w:r>
        <w:t>satellies</w:t>
      </w:r>
      <w:proofErr w:type="spellEnd"/>
      <w:r>
        <w:t xml:space="preserve"> are</w:t>
      </w:r>
      <w:r w:rsidR="000C3DDF">
        <w:t xml:space="preserve"> not contiguous, and therefore, it is impacted whether the measurement is collected in the source or in the target satellite: after a satellite switching, even though the configuration of SRS parameters might be considered the same, there will be a significant modification in the SRS signal, as there will be an offset in time between the SRS transmitted from the source and target satellites (this might be interpreted similarly as a SRS reconfiguration).</w:t>
      </w:r>
    </w:p>
    <w:p w14:paraId="6162DE69" w14:textId="29F80E8D" w:rsidR="000C3DDF" w:rsidRDefault="000C3DDF" w:rsidP="000C3DDF">
      <w:r>
        <w:t xml:space="preserve">We also see that the objective of satellite switching is a smooth transition of UE context, enabling a faster reconfiguration. We also believe, based on RAN 2 current agreements and definition is that, except for satellite assistance information and offset on SSB transmission, the configuration of the cell in both source and target satellites are the same. </w:t>
      </w:r>
      <w:r w:rsidR="001F7DA6">
        <w:t xml:space="preserve">Therefore, our understanding is that the measurements might be re-started once the UE synchronizes to the same cell in the target satellite. </w:t>
      </w:r>
    </w:p>
    <w:p w14:paraId="4C4F4B15" w14:textId="411598A4" w:rsidR="000C3DDF" w:rsidRDefault="000C3DDF" w:rsidP="00683C36">
      <w:r>
        <w:t xml:space="preserve">Therefore, for issue 3-5 we prefer to </w:t>
      </w:r>
      <w:r w:rsidR="001F7DA6">
        <w:t xml:space="preserve">select either option 1a or 1b. </w:t>
      </w:r>
    </w:p>
    <w:p w14:paraId="7AB378A8" w14:textId="46B8E93E" w:rsidR="001F7DA6" w:rsidRDefault="001F7DA6" w:rsidP="001F7DA6">
      <w:pPr>
        <w:pStyle w:val="RAN4proposal"/>
      </w:pPr>
      <w:bookmarkStart w:id="6" w:name="_Toc166499450"/>
      <w:r>
        <w:t>For satellite switching with same PCI, select option 1a:</w:t>
      </w:r>
      <w:bookmarkEnd w:id="6"/>
      <w:r>
        <w:t xml:space="preserve"> </w:t>
      </w:r>
    </w:p>
    <w:p w14:paraId="3FB0A369" w14:textId="77777777" w:rsidR="001F7DA6" w:rsidRPr="00DD32B7" w:rsidRDefault="001F7DA6" w:rsidP="001F7DA6">
      <w:pPr>
        <w:pStyle w:val="RAN4proposal"/>
        <w:numPr>
          <w:ilvl w:val="0"/>
          <w:numId w:val="0"/>
        </w:numPr>
        <w:ind w:left="720"/>
        <w:rPr>
          <w:lang w:eastAsia="ja-JP"/>
        </w:rPr>
      </w:pPr>
      <w:bookmarkStart w:id="7" w:name="_Toc166499451"/>
      <w:r w:rsidRPr="00DD32B7">
        <w:rPr>
          <w:lang w:eastAsia="ja-JP"/>
        </w:rPr>
        <w:t xml:space="preserve">UE stops the PRS measurement </w:t>
      </w:r>
      <w:r w:rsidRPr="00DD32B7">
        <w:rPr>
          <w:u w:val="single"/>
          <w:lang w:eastAsia="ja-JP"/>
        </w:rPr>
        <w:t xml:space="preserve">after </w:t>
      </w:r>
      <w:proofErr w:type="spellStart"/>
      <w:r w:rsidRPr="00DD32B7">
        <w:rPr>
          <w:u w:val="single"/>
          <w:lang w:eastAsia="ja-JP"/>
        </w:rPr>
        <w:t>t_service</w:t>
      </w:r>
      <w:proofErr w:type="spellEnd"/>
      <w:r w:rsidRPr="00DD32B7">
        <w:rPr>
          <w:u w:val="single"/>
          <w:lang w:eastAsia="ja-JP"/>
        </w:rPr>
        <w:t xml:space="preserve"> </w:t>
      </w:r>
      <w:r w:rsidRPr="00DD32B7">
        <w:rPr>
          <w:lang w:eastAsia="ja-JP"/>
        </w:rPr>
        <w:t xml:space="preserve">and restart the UE Rx-Tx time difference measurement </w:t>
      </w:r>
      <w:r w:rsidRPr="00DD32B7">
        <w:t xml:space="preserve">after </w:t>
      </w:r>
      <w:r w:rsidRPr="00DD32B7">
        <w:rPr>
          <w:lang w:eastAsia="ja-JP"/>
        </w:rPr>
        <w:t>switch is complete.</w:t>
      </w:r>
      <w:bookmarkEnd w:id="7"/>
      <w:r w:rsidRPr="00DD32B7">
        <w:rPr>
          <w:lang w:eastAsia="ja-JP"/>
        </w:rPr>
        <w:t xml:space="preserve"> </w:t>
      </w:r>
    </w:p>
    <w:p w14:paraId="7679C902" w14:textId="77777777" w:rsidR="001F7DA6" w:rsidRPr="00DD32B7" w:rsidRDefault="001F7DA6" w:rsidP="001F7DA6">
      <w:pPr>
        <w:pStyle w:val="RAN4proposal"/>
        <w:numPr>
          <w:ilvl w:val="2"/>
          <w:numId w:val="7"/>
        </w:numPr>
        <w:rPr>
          <w:lang w:eastAsia="ja-JP"/>
        </w:rPr>
      </w:pPr>
      <w:bookmarkStart w:id="8" w:name="_Toc166499452"/>
      <w:r w:rsidRPr="00DD32B7">
        <w:t xml:space="preserve">The PRS configuration of the two satellites with the same PCI follows RAN1/2 </w:t>
      </w:r>
      <w:proofErr w:type="spellStart"/>
      <w:r w:rsidRPr="00DD32B7">
        <w:t>specficiaton</w:t>
      </w:r>
      <w:proofErr w:type="spellEnd"/>
      <w:r w:rsidRPr="00DD32B7">
        <w:t xml:space="preserve">, and no further restriction for </w:t>
      </w:r>
      <w:proofErr w:type="spellStart"/>
      <w:r w:rsidRPr="00DD32B7">
        <w:t>gNB</w:t>
      </w:r>
      <w:proofErr w:type="spellEnd"/>
      <w:r w:rsidRPr="00DD32B7">
        <w:t>/LMF to be defined in RAN4.</w:t>
      </w:r>
      <w:bookmarkEnd w:id="8"/>
    </w:p>
    <w:p w14:paraId="39215813" w14:textId="77777777" w:rsidR="001F7DA6" w:rsidRPr="00DD32B7" w:rsidRDefault="001F7DA6" w:rsidP="001F7DA6">
      <w:pPr>
        <w:pStyle w:val="RAN4proposal"/>
        <w:numPr>
          <w:ilvl w:val="2"/>
          <w:numId w:val="7"/>
        </w:numPr>
        <w:rPr>
          <w:lang w:eastAsia="ja-JP"/>
        </w:rPr>
      </w:pPr>
      <w:bookmarkStart w:id="9" w:name="_Toc166499453"/>
      <w:r w:rsidRPr="00DD32B7">
        <w:t xml:space="preserve">The UE measurement accuracy </w:t>
      </w:r>
      <w:proofErr w:type="spellStart"/>
      <w:r w:rsidRPr="00DD32B7">
        <w:t>requiremet</w:t>
      </w:r>
      <w:proofErr w:type="spellEnd"/>
      <w:r w:rsidRPr="00DD32B7">
        <w:t xml:space="preserve"> does not apply if the PRS transmission from two </w:t>
      </w:r>
      <w:proofErr w:type="spellStart"/>
      <w:r w:rsidRPr="00DD32B7">
        <w:t>satelliates</w:t>
      </w:r>
      <w:proofErr w:type="spellEnd"/>
      <w:r w:rsidRPr="00DD32B7">
        <w:t xml:space="preserve"> overlap in time/frequency domain. Further clarify the definition of “overlapping” offline.</w:t>
      </w:r>
      <w:bookmarkEnd w:id="9"/>
    </w:p>
    <w:p w14:paraId="2641A701" w14:textId="77777777" w:rsidR="001F7DA6" w:rsidRPr="001F7DA6" w:rsidRDefault="001F7DA6" w:rsidP="001F7DA6"/>
    <w:p w14:paraId="528B5E56" w14:textId="77777777" w:rsidR="000C3DDF" w:rsidRPr="000C3DDF" w:rsidRDefault="000C3DDF" w:rsidP="00683C36"/>
    <w:p w14:paraId="184AEB55" w14:textId="3D158260" w:rsidR="001F7DA6" w:rsidRDefault="001F7DA6" w:rsidP="00683C36">
      <w:pPr>
        <w:rPr>
          <w:lang w:val="en-US"/>
        </w:rPr>
      </w:pPr>
      <w:r>
        <w:rPr>
          <w:lang w:val="en-US"/>
        </w:rPr>
        <w:lastRenderedPageBreak/>
        <w:t xml:space="preserve">For the FFS part, we do not see this as a problem, as this has already addressed in legacy specifications. </w:t>
      </w:r>
    </w:p>
    <w:tbl>
      <w:tblPr>
        <w:tblStyle w:val="TableGrid"/>
        <w:tblW w:w="0" w:type="auto"/>
        <w:tblLook w:val="04A0" w:firstRow="1" w:lastRow="0" w:firstColumn="1" w:lastColumn="0" w:noHBand="0" w:noVBand="1"/>
      </w:tblPr>
      <w:tblGrid>
        <w:gridCol w:w="9617"/>
      </w:tblGrid>
      <w:tr w:rsidR="001F7DA6" w14:paraId="63CBF218" w14:textId="77777777" w:rsidTr="001F7DA6">
        <w:tc>
          <w:tcPr>
            <w:tcW w:w="9617" w:type="dxa"/>
          </w:tcPr>
          <w:p w14:paraId="55586A5C" w14:textId="77777777" w:rsidR="001F7DA6" w:rsidRDefault="001F7DA6" w:rsidP="001F7DA6">
            <w:r w:rsidRPr="005728E1">
              <w:rPr>
                <w:highlight w:val="yellow"/>
              </w:rPr>
              <w:t>When a serving cell change occurs during the measurement period,</w:t>
            </w:r>
            <w:r>
              <w:t xml:space="preserve"> the UE shall continue and complete the UE Rx-Tx time difference measurement</w:t>
            </w:r>
            <w:r w:rsidRPr="001D452A">
              <w:t xml:space="preserve"> </w:t>
            </w:r>
            <w:r>
              <w:t>provided that the serving cell change does not impact SRS configuration for the UE Rx-Tx time difference measurement.</w:t>
            </w:r>
          </w:p>
          <w:p w14:paraId="6CAA7EB6" w14:textId="77777777" w:rsidR="001F7DA6" w:rsidRPr="001F7DA6" w:rsidRDefault="001F7DA6" w:rsidP="00683C36"/>
        </w:tc>
      </w:tr>
    </w:tbl>
    <w:p w14:paraId="0923E118" w14:textId="77777777" w:rsidR="001F7DA6" w:rsidRDefault="001F7DA6" w:rsidP="00683C36">
      <w:pPr>
        <w:rPr>
          <w:lang w:val="en-US"/>
        </w:rPr>
      </w:pPr>
    </w:p>
    <w:p w14:paraId="45233291" w14:textId="7CD45678" w:rsidR="001F7DA6" w:rsidRDefault="001F7DA6" w:rsidP="00683C36">
      <w:pPr>
        <w:rPr>
          <w:lang w:val="en-US"/>
        </w:rPr>
      </w:pPr>
      <w:r>
        <w:rPr>
          <w:lang w:val="en-US"/>
        </w:rPr>
        <w:t xml:space="preserve">In other words, serving cell changes to the same satellite might not require the measurements to be interrupted, whereas serving cell changes towards target satellites will necessarily require the measurements to be stopped. </w:t>
      </w:r>
    </w:p>
    <w:p w14:paraId="00B733CF" w14:textId="3051AB8E" w:rsidR="001F7DA6" w:rsidRDefault="001F7DA6" w:rsidP="001F7DA6">
      <w:pPr>
        <w:pStyle w:val="RAN4proposal"/>
        <w:rPr>
          <w:lang w:val="en-US"/>
        </w:rPr>
      </w:pPr>
      <w:bookmarkStart w:id="10" w:name="_Toc166499454"/>
      <w:r>
        <w:rPr>
          <w:lang w:val="en-US"/>
        </w:rPr>
        <w:t>No further agreements are needed for serving cell changes with different PCI. But a clarification note can be added to the specification for the case of different satellites.</w:t>
      </w:r>
      <w:bookmarkEnd w:id="10"/>
    </w:p>
    <w:p w14:paraId="7339C9C8" w14:textId="77777777" w:rsidR="00B60585" w:rsidRDefault="00B60585" w:rsidP="00B60585">
      <w:pPr>
        <w:pStyle w:val="RAN4H2"/>
      </w:pPr>
      <w:r>
        <w:t>Impact of UE autonomous pre compensation of timing advance (Issue 3.4)</w:t>
      </w:r>
    </w:p>
    <w:p w14:paraId="02D57FB8" w14:textId="08D8EA22" w:rsidR="00CA519F" w:rsidRDefault="00CA519F" w:rsidP="00CA519F">
      <w:pPr>
        <w:rPr>
          <w:lang w:val="en-US"/>
        </w:rPr>
      </w:pPr>
      <w:r>
        <w:rPr>
          <w:lang w:val="en-US"/>
        </w:rPr>
        <w:t xml:space="preserve">In </w:t>
      </w:r>
      <w:r w:rsidR="00B60585">
        <w:rPr>
          <w:lang w:val="en-US"/>
        </w:rPr>
        <w:t>our previous contribution</w:t>
      </w:r>
      <w:r w:rsidR="0076323D">
        <w:rPr>
          <w:lang w:val="en-US"/>
        </w:rPr>
        <w:fldChar w:fldCharType="begin"/>
      </w:r>
      <w:r w:rsidR="0076323D">
        <w:rPr>
          <w:lang w:val="en-US"/>
        </w:rPr>
        <w:instrText xml:space="preserve"> REF _Ref166150500 \r \h </w:instrText>
      </w:r>
      <w:r w:rsidR="0076323D">
        <w:rPr>
          <w:lang w:val="en-US"/>
        </w:rPr>
      </w:r>
      <w:r w:rsidR="0076323D">
        <w:rPr>
          <w:lang w:val="en-US"/>
        </w:rPr>
        <w:fldChar w:fldCharType="separate"/>
      </w:r>
      <w:r w:rsidR="0076323D">
        <w:rPr>
          <w:lang w:val="en-US"/>
        </w:rPr>
        <w:t>[3]</w:t>
      </w:r>
      <w:r w:rsidR="0076323D">
        <w:rPr>
          <w:lang w:val="en-US"/>
        </w:rPr>
        <w:fldChar w:fldCharType="end"/>
      </w:r>
      <w:r w:rsidR="00B60585">
        <w:rPr>
          <w:lang w:val="en-US"/>
        </w:rPr>
        <w:t xml:space="preserve">, we have extensively discussed </w:t>
      </w:r>
      <w:r w:rsidR="0076323D">
        <w:rPr>
          <w:lang w:val="en-US"/>
        </w:rPr>
        <w:t>the importance</w:t>
      </w:r>
      <w:r w:rsidR="00B60585">
        <w:rPr>
          <w:lang w:val="en-US"/>
        </w:rPr>
        <w:t xml:space="preserve"> for the network to be aware of changes in UE timing advance when the measurements were collected, the following tentative agreement was reached during the meeting:</w:t>
      </w:r>
    </w:p>
    <w:tbl>
      <w:tblPr>
        <w:tblStyle w:val="TableGrid"/>
        <w:tblW w:w="0" w:type="auto"/>
        <w:tblLook w:val="04A0" w:firstRow="1" w:lastRow="0" w:firstColumn="1" w:lastColumn="0" w:noHBand="0" w:noVBand="1"/>
      </w:tblPr>
      <w:tblGrid>
        <w:gridCol w:w="9617"/>
      </w:tblGrid>
      <w:tr w:rsidR="00486DAA" w14:paraId="55808C05" w14:textId="77777777" w:rsidTr="00486DAA">
        <w:tc>
          <w:tcPr>
            <w:tcW w:w="9617" w:type="dxa"/>
          </w:tcPr>
          <w:p w14:paraId="1BFC9F2B" w14:textId="77777777" w:rsidR="00B60585" w:rsidRPr="000C27C6" w:rsidRDefault="00B60585" w:rsidP="00B60585">
            <w:pPr>
              <w:outlineLvl w:val="2"/>
              <w:rPr>
                <w:b/>
                <w:u w:val="single"/>
                <w:lang w:eastAsia="ko-KR"/>
              </w:rPr>
            </w:pPr>
            <w:r w:rsidRPr="000C27C6">
              <w:rPr>
                <w:b/>
                <w:u w:val="single"/>
                <w:lang w:eastAsia="ko-KR"/>
              </w:rPr>
              <w:t>Issue 3-4: Measurement accuracy requirements on UL timing drift</w:t>
            </w:r>
          </w:p>
          <w:p w14:paraId="4572FDC0" w14:textId="77777777" w:rsidR="00B60585" w:rsidRPr="00387BA6" w:rsidRDefault="00B60585" w:rsidP="00B60585">
            <w:pPr>
              <w:overflowPunct w:val="0"/>
              <w:autoSpaceDE w:val="0"/>
              <w:autoSpaceDN w:val="0"/>
              <w:adjustRightInd w:val="0"/>
              <w:spacing w:after="120"/>
              <w:ind w:firstLine="284"/>
              <w:textAlignment w:val="baseline"/>
              <w:rPr>
                <w:b/>
                <w:bCs/>
                <w:sz w:val="21"/>
                <w:szCs w:val="21"/>
                <w:highlight w:val="yellow"/>
                <w:lang w:eastAsia="ja-JP"/>
              </w:rPr>
            </w:pPr>
            <w:r w:rsidRPr="00387BA6">
              <w:rPr>
                <w:b/>
                <w:bCs/>
                <w:sz w:val="21"/>
                <w:szCs w:val="21"/>
                <w:highlight w:val="yellow"/>
              </w:rPr>
              <w:t>FFS (</w:t>
            </w:r>
            <w:r>
              <w:rPr>
                <w:b/>
                <w:bCs/>
                <w:sz w:val="21"/>
                <w:szCs w:val="21"/>
                <w:highlight w:val="yellow"/>
              </w:rPr>
              <w:t>ad-hoc</w:t>
            </w:r>
            <w:r w:rsidRPr="00387BA6">
              <w:rPr>
                <w:b/>
                <w:bCs/>
                <w:sz w:val="21"/>
                <w:szCs w:val="21"/>
                <w:highlight w:val="yellow"/>
              </w:rPr>
              <w:t>):</w:t>
            </w:r>
          </w:p>
          <w:p w14:paraId="677D9360" w14:textId="77777777" w:rsidR="00B60585" w:rsidRPr="000C27C6" w:rsidRDefault="00B60585" w:rsidP="00B60585">
            <w:pPr>
              <w:pStyle w:val="ListParagraph"/>
              <w:numPr>
                <w:ilvl w:val="0"/>
                <w:numId w:val="28"/>
              </w:numPr>
              <w:overflowPunct w:val="0"/>
              <w:autoSpaceDE w:val="0"/>
              <w:autoSpaceDN w:val="0"/>
              <w:adjustRightInd w:val="0"/>
              <w:spacing w:after="180" w:line="276" w:lineRule="auto"/>
              <w:ind w:left="644"/>
              <w:contextualSpacing w:val="0"/>
              <w:textAlignment w:val="baseline"/>
              <w:rPr>
                <w:lang w:eastAsia="ja-JP"/>
              </w:rPr>
            </w:pPr>
            <w:r w:rsidRPr="000C27C6">
              <w:rPr>
                <w:lang w:eastAsia="ja-JP"/>
              </w:rPr>
              <w:t xml:space="preserve">No new applicability condition for UE Rx-Tx measurement requirements related to amount of variation in the applied TA during measurement period.  </w:t>
            </w:r>
          </w:p>
          <w:p w14:paraId="578BC7E7" w14:textId="77777777" w:rsidR="00B60585" w:rsidRPr="000C27C6" w:rsidRDefault="00B60585" w:rsidP="00B60585">
            <w:pPr>
              <w:pStyle w:val="ListParagraph"/>
              <w:numPr>
                <w:ilvl w:val="1"/>
                <w:numId w:val="28"/>
              </w:numPr>
              <w:overflowPunct w:val="0"/>
              <w:autoSpaceDE w:val="0"/>
              <w:autoSpaceDN w:val="0"/>
              <w:adjustRightInd w:val="0"/>
              <w:spacing w:after="180" w:line="276" w:lineRule="auto"/>
              <w:ind w:left="1364"/>
              <w:contextualSpacing w:val="0"/>
              <w:textAlignment w:val="baseline"/>
              <w:rPr>
                <w:lang w:eastAsia="ja-JP"/>
              </w:rPr>
            </w:pPr>
            <w:r w:rsidRPr="000C27C6">
              <w:rPr>
                <w:lang w:eastAsia="ja-JP"/>
              </w:rPr>
              <w:t xml:space="preserve">Including DL timing drift reporting as condition </w:t>
            </w:r>
          </w:p>
          <w:p w14:paraId="06F73A34" w14:textId="77777777" w:rsidR="00486DAA" w:rsidRPr="00486DAA" w:rsidRDefault="00486DAA" w:rsidP="00CA519F"/>
        </w:tc>
      </w:tr>
    </w:tbl>
    <w:p w14:paraId="233626A6" w14:textId="77777777" w:rsidR="00486DAA" w:rsidRDefault="00486DAA" w:rsidP="00CA519F">
      <w:pPr>
        <w:rPr>
          <w:lang w:val="en-US"/>
        </w:rPr>
      </w:pPr>
    </w:p>
    <w:p w14:paraId="20C1AB18" w14:textId="6F751A2B" w:rsidR="00B60585" w:rsidRDefault="00B60585" w:rsidP="00CA519F">
      <w:pPr>
        <w:rPr>
          <w:lang w:val="en-US"/>
        </w:rPr>
      </w:pPr>
      <w:r>
        <w:rPr>
          <w:lang w:val="en-US"/>
        </w:rPr>
        <w:t xml:space="preserve">Although we do not oppose with this clarification, it is important to understand what is included in DL timing drift reporting. </w:t>
      </w:r>
      <w:r w:rsidR="00DB09F3">
        <w:rPr>
          <w:lang w:val="en-US"/>
        </w:rPr>
        <w:t>As, according to 38.215, the DL timing drift is given by:</w:t>
      </w:r>
    </w:p>
    <w:tbl>
      <w:tblPr>
        <w:tblStyle w:val="TableGrid"/>
        <w:tblW w:w="0" w:type="auto"/>
        <w:tblLook w:val="04A0" w:firstRow="1" w:lastRow="0" w:firstColumn="1" w:lastColumn="0" w:noHBand="0" w:noVBand="1"/>
      </w:tblPr>
      <w:tblGrid>
        <w:gridCol w:w="9617"/>
      </w:tblGrid>
      <w:tr w:rsidR="00DB09F3" w14:paraId="6FC1B029" w14:textId="77777777" w:rsidTr="00DB09F3">
        <w:tc>
          <w:tcPr>
            <w:tcW w:w="9617" w:type="dxa"/>
          </w:tcPr>
          <w:p w14:paraId="76068A89" w14:textId="77777777" w:rsidR="00DB09F3" w:rsidRDefault="00DB09F3" w:rsidP="00DB09F3">
            <w:pPr>
              <w:pStyle w:val="TH"/>
              <w:rPr>
                <w:rFonts w:eastAsiaTheme="minorEastAsia"/>
                <w:lang/>
              </w:rPr>
            </w:pPr>
          </w:p>
          <w:tbl>
            <w:tblPr>
              <w:tblW w:w="0" w:type="dxa"/>
              <w:jc w:val="center"/>
              <w:tblCellMar>
                <w:left w:w="0" w:type="dxa"/>
                <w:right w:w="0" w:type="dxa"/>
              </w:tblCellMar>
              <w:tblLook w:val="04A0" w:firstRow="1" w:lastRow="0" w:firstColumn="1" w:lastColumn="0" w:noHBand="0" w:noVBand="1"/>
            </w:tblPr>
            <w:tblGrid>
              <w:gridCol w:w="1901"/>
              <w:gridCol w:w="7480"/>
            </w:tblGrid>
            <w:tr w:rsidR="00DB09F3" w14:paraId="799FFF01" w14:textId="77777777" w:rsidTr="00DB09F3">
              <w:trPr>
                <w:cantSplit/>
                <w:jc w:val="center"/>
              </w:trPr>
              <w:tc>
                <w:tcPr>
                  <w:tcW w:w="19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73FDA8B2" w14:textId="77777777" w:rsidR="00DB09F3" w:rsidRDefault="00DB09F3" w:rsidP="00DB09F3">
                  <w:pPr>
                    <w:keepNext/>
                    <w:rPr>
                      <w:rFonts w:ascii="Arial" w:eastAsiaTheme="minorEastAsia" w:hAnsi="Arial" w:cs="Arial"/>
                      <w:b/>
                      <w:bCs/>
                      <w:sz w:val="18"/>
                      <w:szCs w:val="18"/>
                      <w:lang w:eastAsia="en-GB"/>
                    </w:rPr>
                  </w:pPr>
                  <w:r>
                    <w:rPr>
                      <w:rFonts w:ascii="Arial" w:hAnsi="Arial" w:cs="Arial"/>
                      <w:b/>
                      <w:bCs/>
                      <w:sz w:val="18"/>
                      <w:szCs w:val="18"/>
                      <w:lang w:eastAsia="en-GB"/>
                    </w:rPr>
                    <w:t>Definition</w:t>
                  </w:r>
                </w:p>
              </w:tc>
              <w:tc>
                <w:tcPr>
                  <w:tcW w:w="7787"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653DA97A" w14:textId="77777777" w:rsidR="00DB09F3" w:rsidRDefault="00DB09F3" w:rsidP="00DB09F3">
                  <w:pPr>
                    <w:keepNext/>
                    <w:rPr>
                      <w:rFonts w:ascii="Arial" w:hAnsi="Arial" w:cs="Arial"/>
                      <w:sz w:val="18"/>
                      <w:szCs w:val="18"/>
                      <w:lang w:val="en-US" w:eastAsia="en-GB"/>
                    </w:rPr>
                  </w:pPr>
                  <w:r>
                    <w:rPr>
                      <w:rFonts w:ascii="Arial" w:hAnsi="Arial" w:cs="Arial"/>
                      <w:sz w:val="18"/>
                      <w:szCs w:val="18"/>
                      <w:lang w:val="en-US" w:eastAsia="en-GB"/>
                    </w:rPr>
                    <w:t>DL timing drift is defined as the variation rate of the downlink delay in ppm due to the service link Doppler over the UE Rx-Tx time difference measurement period.</w:t>
                  </w:r>
                </w:p>
                <w:p w14:paraId="099B8E0E" w14:textId="77777777" w:rsidR="00DB09F3" w:rsidRDefault="00DB09F3" w:rsidP="00DB09F3">
                  <w:pPr>
                    <w:keepNext/>
                    <w:rPr>
                      <w:rFonts w:ascii="Arial" w:hAnsi="Arial" w:cs="Arial"/>
                      <w:sz w:val="18"/>
                      <w:szCs w:val="18"/>
                      <w:lang w:val="en-US" w:eastAsia="en-GB"/>
                    </w:rPr>
                  </w:pPr>
                </w:p>
                <w:p w14:paraId="2FA575AB" w14:textId="77777777" w:rsidR="00DB09F3" w:rsidRDefault="00DB09F3" w:rsidP="00DB09F3">
                  <w:pPr>
                    <w:keepNext/>
                    <w:rPr>
                      <w:rFonts w:ascii="Arial" w:hAnsi="Arial" w:cs="Arial"/>
                      <w:sz w:val="18"/>
                      <w:szCs w:val="18"/>
                      <w:lang w:val="en-US" w:eastAsia="en-GB"/>
                    </w:rPr>
                  </w:pPr>
                  <w:r>
                    <w:rPr>
                      <w:rFonts w:ascii="Arial" w:hAnsi="Arial" w:cs="Arial"/>
                      <w:sz w:val="18"/>
                      <w:szCs w:val="18"/>
                      <w:lang/>
                    </w:rPr>
                    <w:t>For frequency range 1, t</w:t>
                  </w:r>
                  <w:r>
                    <w:rPr>
                      <w:rFonts w:ascii="Arial" w:hAnsi="Arial" w:cs="Arial"/>
                      <w:sz w:val="18"/>
                      <w:szCs w:val="18"/>
                      <w:lang w:eastAsia="en-GB"/>
                    </w:rPr>
                    <w:t xml:space="preserve">he reference point for the DL timing drift measurement shall be the Rx antenna connector of the UE. </w:t>
                  </w:r>
                  <w:r>
                    <w:rPr>
                      <w:rFonts w:ascii="Arial" w:hAnsi="Arial" w:cs="Arial"/>
                      <w:sz w:val="18"/>
                      <w:szCs w:val="18"/>
                      <w:lang/>
                    </w:rPr>
                    <w:t>For frequency range 2, t</w:t>
                  </w:r>
                  <w:r>
                    <w:rPr>
                      <w:rFonts w:ascii="Arial" w:hAnsi="Arial" w:cs="Arial"/>
                      <w:sz w:val="18"/>
                      <w:szCs w:val="18"/>
                      <w:lang w:eastAsia="en-GB"/>
                    </w:rPr>
                    <w:t xml:space="preserve">he reference point for the DL timing drift measurement shall be the Rx antenna of the UE. </w:t>
                  </w:r>
                </w:p>
              </w:tc>
            </w:tr>
            <w:tr w:rsidR="00DB09F3" w14:paraId="45383D5B" w14:textId="77777777" w:rsidTr="00DB09F3">
              <w:trPr>
                <w:cantSplit/>
                <w:trHeight w:val="60"/>
                <w:jc w:val="center"/>
              </w:trPr>
              <w:tc>
                <w:tcPr>
                  <w:tcW w:w="195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A06BA0F" w14:textId="77777777" w:rsidR="00DB09F3" w:rsidRDefault="00DB09F3" w:rsidP="00DB09F3">
                  <w:pPr>
                    <w:keepNext/>
                    <w:rPr>
                      <w:rFonts w:ascii="Arial" w:hAnsi="Arial" w:cs="Arial"/>
                      <w:b/>
                      <w:bCs/>
                      <w:sz w:val="18"/>
                      <w:szCs w:val="18"/>
                      <w:lang w:eastAsia="en-GB"/>
                    </w:rPr>
                  </w:pPr>
                  <w:r>
                    <w:rPr>
                      <w:rFonts w:ascii="Arial" w:hAnsi="Arial" w:cs="Arial"/>
                      <w:b/>
                      <w:bCs/>
                      <w:sz w:val="18"/>
                      <w:szCs w:val="18"/>
                      <w:lang w:eastAsia="en-GB"/>
                    </w:rPr>
                    <w:t>Applicable for</w:t>
                  </w:r>
                </w:p>
              </w:tc>
              <w:tc>
                <w:tcPr>
                  <w:tcW w:w="7787" w:type="dxa"/>
                  <w:tcBorders>
                    <w:top w:val="nil"/>
                    <w:left w:val="nil"/>
                    <w:bottom w:val="single" w:sz="8" w:space="0" w:color="auto"/>
                    <w:right w:val="single" w:sz="8" w:space="0" w:color="auto"/>
                  </w:tcBorders>
                  <w:tcMar>
                    <w:top w:w="0" w:type="dxa"/>
                    <w:left w:w="28" w:type="dxa"/>
                    <w:bottom w:w="0" w:type="dxa"/>
                    <w:right w:w="28" w:type="dxa"/>
                  </w:tcMar>
                  <w:hideMark/>
                </w:tcPr>
                <w:p w14:paraId="3F1C8C1E" w14:textId="77777777" w:rsidR="00DB09F3" w:rsidRDefault="00DB09F3" w:rsidP="00DB09F3">
                  <w:pPr>
                    <w:keepNext/>
                    <w:rPr>
                      <w:rFonts w:ascii="Arial" w:hAnsi="Arial" w:cs="Arial"/>
                      <w:sz w:val="18"/>
                      <w:szCs w:val="18"/>
                      <w:lang w:eastAsia="en-GB"/>
                    </w:rPr>
                  </w:pPr>
                  <w:r>
                    <w:rPr>
                      <w:rFonts w:ascii="Arial" w:hAnsi="Arial" w:cs="Arial"/>
                      <w:sz w:val="18"/>
                      <w:szCs w:val="18"/>
                      <w:lang w:eastAsia="en-GB"/>
                    </w:rPr>
                    <w:t>RRC_CONNECTED</w:t>
                  </w:r>
                </w:p>
              </w:tc>
            </w:tr>
          </w:tbl>
          <w:p w14:paraId="140DC816" w14:textId="77777777" w:rsidR="00DB09F3" w:rsidRDefault="00DB09F3" w:rsidP="00CA519F">
            <w:pPr>
              <w:rPr>
                <w:lang w:val="en-US"/>
              </w:rPr>
            </w:pPr>
          </w:p>
        </w:tc>
      </w:tr>
    </w:tbl>
    <w:p w14:paraId="30990DD0" w14:textId="77777777" w:rsidR="00DB09F3" w:rsidRDefault="00DB09F3" w:rsidP="00CA519F">
      <w:pPr>
        <w:rPr>
          <w:lang w:val="en-US"/>
        </w:rPr>
      </w:pPr>
    </w:p>
    <w:p w14:paraId="008B60C0" w14:textId="25C9D75B" w:rsidR="00B60585" w:rsidRDefault="00DB09F3" w:rsidP="00CA519F">
      <w:pPr>
        <w:rPr>
          <w:lang w:val="en-US"/>
        </w:rPr>
      </w:pPr>
      <w:r>
        <w:rPr>
          <w:lang w:val="en-US"/>
        </w:rPr>
        <w:t xml:space="preserve">Hence the report of DL timing drift would include the variation of the DL timing reference during the measurements. </w:t>
      </w:r>
      <w:r w:rsidR="00B60585">
        <w:rPr>
          <w:lang w:val="en-US"/>
        </w:rPr>
        <w:t xml:space="preserve">Note that, changes in satellite position, common delay and UE position will affect the total DL reference timing. But changes in UE position will not be directly translated into timing advance changes, as they shall follow the </w:t>
      </w:r>
      <w:proofErr w:type="spellStart"/>
      <w:r w:rsidR="00B60585">
        <w:rPr>
          <w:lang w:val="en-US"/>
        </w:rPr>
        <w:t>Tp</w:t>
      </w:r>
      <w:proofErr w:type="spellEnd"/>
      <w:r w:rsidR="00B60585">
        <w:rPr>
          <w:lang w:val="en-US"/>
        </w:rPr>
        <w:t xml:space="preserve"> and </w:t>
      </w:r>
      <w:proofErr w:type="spellStart"/>
      <w:r w:rsidR="00B60585">
        <w:rPr>
          <w:lang w:val="en-US"/>
        </w:rPr>
        <w:t>Tq</w:t>
      </w:r>
      <w:proofErr w:type="spellEnd"/>
      <w:r w:rsidR="00B60585">
        <w:rPr>
          <w:lang w:val="en-US"/>
        </w:rPr>
        <w:t xml:space="preserve"> requirements. </w:t>
      </w:r>
    </w:p>
    <w:p w14:paraId="7777263C" w14:textId="01448F35" w:rsidR="00DB09F3" w:rsidRDefault="00DB09F3" w:rsidP="00CA519F">
      <w:pPr>
        <w:rPr>
          <w:lang w:val="en-US"/>
        </w:rPr>
      </w:pPr>
      <w:r>
        <w:rPr>
          <w:lang w:val="en-US"/>
        </w:rPr>
        <w:t xml:space="preserve">Another problem is that the DL timing drift report has still not being implemented by RAN2, as the </w:t>
      </w:r>
      <w:proofErr w:type="spellStart"/>
      <w:r>
        <w:rPr>
          <w:lang w:val="en-US"/>
        </w:rPr>
        <w:t>signalling</w:t>
      </w:r>
      <w:proofErr w:type="spellEnd"/>
      <w:r>
        <w:rPr>
          <w:lang w:val="en-US"/>
        </w:rPr>
        <w:t xml:space="preserve"> message for the reporting has not been specified. Therefore, it is important to wait for the implementation of the DL timing drift before concluding whether it is sufficient to guarantee </w:t>
      </w:r>
      <w:proofErr w:type="gramStart"/>
      <w:r>
        <w:rPr>
          <w:lang w:val="en-US"/>
        </w:rPr>
        <w:t>an</w:t>
      </w:r>
      <w:proofErr w:type="gramEnd"/>
      <w:r>
        <w:rPr>
          <w:lang w:val="en-US"/>
        </w:rPr>
        <w:t xml:space="preserve"> harmonious measurement even when the UE is updating its timing information. </w:t>
      </w:r>
    </w:p>
    <w:p w14:paraId="648D5328" w14:textId="52147D00" w:rsidR="00B60585" w:rsidRPr="0076323D" w:rsidRDefault="00DB09F3" w:rsidP="00B60585">
      <w:pPr>
        <w:pStyle w:val="RAN4proposal"/>
        <w:rPr>
          <w:lang w:val="en-US"/>
        </w:rPr>
      </w:pPr>
      <w:bookmarkStart w:id="11" w:name="_Toc166499455"/>
      <w:r>
        <w:rPr>
          <w:lang w:val="en-US"/>
        </w:rPr>
        <w:t xml:space="preserve">Wait until RAN2 implements the DL Timing Drift Report </w:t>
      </w:r>
      <w:proofErr w:type="gramStart"/>
      <w:r>
        <w:rPr>
          <w:lang w:val="en-US"/>
        </w:rPr>
        <w:t>in order to</w:t>
      </w:r>
      <w:proofErr w:type="gramEnd"/>
      <w:r>
        <w:rPr>
          <w:lang w:val="en-US"/>
        </w:rPr>
        <w:t xml:space="preserve"> decide whether the report is sufficient to guarantee that UE RX-TX measurement requirements are applicable even UE applies significant changes on its timing advance within the measurement period.</w:t>
      </w:r>
      <w:bookmarkEnd w:id="11"/>
      <w:r>
        <w:rPr>
          <w:lang w:val="en-US"/>
        </w:rPr>
        <w:t xml:space="preserve"> </w:t>
      </w:r>
    </w:p>
    <w:p w14:paraId="6DE4450B" w14:textId="16918622" w:rsidR="00E34BBA" w:rsidRPr="008C39F7" w:rsidRDefault="00E34BBA" w:rsidP="00E34BBA">
      <w:pPr>
        <w:pStyle w:val="RAN4H1"/>
      </w:pPr>
      <w:bookmarkStart w:id="12" w:name="_Toc116995848"/>
      <w:bookmarkStart w:id="13" w:name="_Toc116995849"/>
      <w:r w:rsidRPr="008C39F7">
        <w:lastRenderedPageBreak/>
        <w:t>Conclusion</w:t>
      </w:r>
      <w:bookmarkEnd w:id="12"/>
    </w:p>
    <w:p w14:paraId="4BA2BF40" w14:textId="07183801" w:rsidR="00E34BBA" w:rsidRPr="008C39F7" w:rsidRDefault="00E34BBA" w:rsidP="00E34BBA">
      <w:r w:rsidRPr="0023526B">
        <w:t xml:space="preserve">The paper has discussed the </w:t>
      </w:r>
      <w:r>
        <w:t xml:space="preserve">need of side conditions for the applicability of </w:t>
      </w:r>
      <w:r w:rsidR="009F495D">
        <w:t>mobility requirements for enhanced mobility features in NTN. The following observations and proposals were made:</w:t>
      </w:r>
    </w:p>
    <w:p w14:paraId="14717B35" w14:textId="1498C8CD" w:rsidR="00DB09F3" w:rsidRDefault="00E34BBA">
      <w:pPr>
        <w:pStyle w:val="TOC1"/>
        <w:rPr>
          <w:rFonts w:asciiTheme="minorHAnsi" w:eastAsiaTheme="minorEastAsia" w:hAnsiTheme="minorHAnsi"/>
          <w:b w:val="0"/>
          <w:iCs w:val="0"/>
          <w:kern w:val="2"/>
          <w:sz w:val="22"/>
          <w:lang w:eastAsia="zh-CN"/>
          <w14:ligatures w14:val="standardContextual"/>
        </w:rPr>
      </w:pPr>
      <w:r>
        <w:fldChar w:fldCharType="begin"/>
      </w:r>
      <w:r>
        <w:instrText xml:space="preserve"> TOC \n \h \z \t "RAN4 proposal;1;RAN4 observation;1" </w:instrText>
      </w:r>
      <w:r>
        <w:fldChar w:fldCharType="separate"/>
      </w:r>
      <w:hyperlink w:anchor="_Toc166499449" w:history="1">
        <w:r w:rsidR="00DB09F3" w:rsidRPr="00CF7DF0">
          <w:rPr>
            <w:rStyle w:val="Hyperlink"/>
          </w:rPr>
          <w:t>Observation 1: RAN4 has to guarantee that the network understands unequivocally whether the UE measurements were collected in the source or target satellites.</w:t>
        </w:r>
      </w:hyperlink>
    </w:p>
    <w:p w14:paraId="6090523B" w14:textId="1F0839D3" w:rsidR="00DB09F3" w:rsidRDefault="00DB09F3">
      <w:pPr>
        <w:pStyle w:val="TOC1"/>
        <w:rPr>
          <w:rFonts w:asciiTheme="minorHAnsi" w:eastAsiaTheme="minorEastAsia" w:hAnsiTheme="minorHAnsi"/>
          <w:b w:val="0"/>
          <w:iCs w:val="0"/>
          <w:kern w:val="2"/>
          <w:sz w:val="22"/>
          <w:lang w:eastAsia="zh-CN"/>
          <w14:ligatures w14:val="standardContextual"/>
        </w:rPr>
      </w:pPr>
      <w:hyperlink w:anchor="_Toc166499450" w:history="1">
        <w:r w:rsidRPr="00CF7DF0">
          <w:rPr>
            <w:rStyle w:val="Hyperlink"/>
          </w:rPr>
          <w:t>Proposal 1: For satellite switching with same PCI, select option 1a:</w:t>
        </w:r>
      </w:hyperlink>
    </w:p>
    <w:p w14:paraId="1BAF8132" w14:textId="09A417D4" w:rsidR="00DB09F3" w:rsidRDefault="00DB09F3">
      <w:pPr>
        <w:pStyle w:val="TOC1"/>
        <w:rPr>
          <w:rFonts w:asciiTheme="minorHAnsi" w:eastAsiaTheme="minorEastAsia" w:hAnsiTheme="minorHAnsi"/>
          <w:b w:val="0"/>
          <w:iCs w:val="0"/>
          <w:kern w:val="2"/>
          <w:sz w:val="22"/>
          <w:lang w:eastAsia="zh-CN"/>
          <w14:ligatures w14:val="standardContextual"/>
        </w:rPr>
      </w:pPr>
      <w:hyperlink w:anchor="_Toc166499451" w:history="1">
        <w:r w:rsidRPr="00CF7DF0">
          <w:rPr>
            <w:rStyle w:val="Hyperlink"/>
            <w:lang w:eastAsia="ja-JP"/>
          </w:rPr>
          <w:t xml:space="preserve">UE stops the PRS measurement after t_service and restart the UE Rx-Tx time difference measurement </w:t>
        </w:r>
        <w:r w:rsidRPr="00CF7DF0">
          <w:rPr>
            <w:rStyle w:val="Hyperlink"/>
          </w:rPr>
          <w:t xml:space="preserve">after </w:t>
        </w:r>
        <w:r w:rsidRPr="00CF7DF0">
          <w:rPr>
            <w:rStyle w:val="Hyperlink"/>
            <w:lang w:eastAsia="ja-JP"/>
          </w:rPr>
          <w:t>switch is complete.</w:t>
        </w:r>
      </w:hyperlink>
    </w:p>
    <w:p w14:paraId="36FC13E3" w14:textId="7671FD37" w:rsidR="00DB09F3" w:rsidRDefault="00DB09F3">
      <w:pPr>
        <w:pStyle w:val="TOC1"/>
        <w:tabs>
          <w:tab w:val="left" w:pos="400"/>
        </w:tabs>
        <w:rPr>
          <w:rFonts w:asciiTheme="minorHAnsi" w:eastAsiaTheme="minorEastAsia" w:hAnsiTheme="minorHAnsi"/>
          <w:b w:val="0"/>
          <w:iCs w:val="0"/>
          <w:kern w:val="2"/>
          <w:sz w:val="22"/>
          <w:lang w:eastAsia="zh-CN"/>
          <w14:ligatures w14:val="standardContextual"/>
        </w:rPr>
      </w:pPr>
      <w:hyperlink w:anchor="_Toc166499452" w:history="1">
        <w:r w:rsidRPr="00CF7DF0">
          <w:rPr>
            <w:rStyle w:val="Hyperlink"/>
            <w:lang w:eastAsia="ja-JP"/>
          </w:rPr>
          <w:t>i.</w:t>
        </w:r>
        <w:r>
          <w:rPr>
            <w:rFonts w:asciiTheme="minorHAnsi" w:eastAsiaTheme="minorEastAsia" w:hAnsiTheme="minorHAnsi"/>
            <w:b w:val="0"/>
            <w:iCs w:val="0"/>
            <w:kern w:val="2"/>
            <w:sz w:val="22"/>
            <w:lang w:eastAsia="zh-CN"/>
            <w14:ligatures w14:val="standardContextual"/>
          </w:rPr>
          <w:tab/>
        </w:r>
        <w:r w:rsidRPr="00CF7DF0">
          <w:rPr>
            <w:rStyle w:val="Hyperlink"/>
          </w:rPr>
          <w:t>The PRS configuration of the two satellites with the same PCI follows RAN1/2 specficiaton, and no further restriction for gNB/LMF to be defined in RAN4.</w:t>
        </w:r>
      </w:hyperlink>
    </w:p>
    <w:p w14:paraId="7F93B232" w14:textId="019E9AF7" w:rsidR="00DB09F3" w:rsidRDefault="00DB09F3">
      <w:pPr>
        <w:pStyle w:val="TOC1"/>
        <w:tabs>
          <w:tab w:val="left" w:pos="400"/>
        </w:tabs>
        <w:rPr>
          <w:rFonts w:asciiTheme="minorHAnsi" w:eastAsiaTheme="minorEastAsia" w:hAnsiTheme="minorHAnsi"/>
          <w:b w:val="0"/>
          <w:iCs w:val="0"/>
          <w:kern w:val="2"/>
          <w:sz w:val="22"/>
          <w:lang w:eastAsia="zh-CN"/>
          <w14:ligatures w14:val="standardContextual"/>
        </w:rPr>
      </w:pPr>
      <w:hyperlink w:anchor="_Toc166499453" w:history="1">
        <w:r w:rsidRPr="00CF7DF0">
          <w:rPr>
            <w:rStyle w:val="Hyperlink"/>
            <w:lang w:eastAsia="ja-JP"/>
          </w:rPr>
          <w:t>ii.</w:t>
        </w:r>
        <w:r>
          <w:rPr>
            <w:rFonts w:asciiTheme="minorHAnsi" w:eastAsiaTheme="minorEastAsia" w:hAnsiTheme="minorHAnsi"/>
            <w:b w:val="0"/>
            <w:iCs w:val="0"/>
            <w:kern w:val="2"/>
            <w:sz w:val="22"/>
            <w:lang w:eastAsia="zh-CN"/>
            <w14:ligatures w14:val="standardContextual"/>
          </w:rPr>
          <w:tab/>
        </w:r>
        <w:r w:rsidRPr="00CF7DF0">
          <w:rPr>
            <w:rStyle w:val="Hyperlink"/>
          </w:rPr>
          <w:t>The UE measurement accuracy requiremet does not apply if the PRS transmission from two satelliates overlap in time/frequency domain. Further clarify the definition of “overlapping” offline.</w:t>
        </w:r>
      </w:hyperlink>
    </w:p>
    <w:p w14:paraId="602813FC" w14:textId="20EBC367" w:rsidR="00DB09F3" w:rsidRDefault="00DB09F3">
      <w:pPr>
        <w:pStyle w:val="TOC1"/>
        <w:rPr>
          <w:rFonts w:asciiTheme="minorHAnsi" w:eastAsiaTheme="minorEastAsia" w:hAnsiTheme="minorHAnsi"/>
          <w:b w:val="0"/>
          <w:iCs w:val="0"/>
          <w:kern w:val="2"/>
          <w:sz w:val="22"/>
          <w:lang w:eastAsia="zh-CN"/>
          <w14:ligatures w14:val="standardContextual"/>
        </w:rPr>
      </w:pPr>
      <w:hyperlink w:anchor="_Toc166499454" w:history="1">
        <w:r w:rsidRPr="00CF7DF0">
          <w:rPr>
            <w:rStyle w:val="Hyperlink"/>
            <w:lang w:val="en-US"/>
          </w:rPr>
          <w:t>Proposal 2: No further agreements are needed for serving cell changes with different PCI. But a clarification note can be added to the specification for the case of different satellites.</w:t>
        </w:r>
      </w:hyperlink>
    </w:p>
    <w:p w14:paraId="7C939312" w14:textId="098EB4F3" w:rsidR="00DB09F3" w:rsidRDefault="00DB09F3">
      <w:pPr>
        <w:pStyle w:val="TOC1"/>
        <w:rPr>
          <w:rFonts w:asciiTheme="minorHAnsi" w:eastAsiaTheme="minorEastAsia" w:hAnsiTheme="minorHAnsi"/>
          <w:b w:val="0"/>
          <w:iCs w:val="0"/>
          <w:kern w:val="2"/>
          <w:sz w:val="22"/>
          <w:lang w:eastAsia="zh-CN"/>
          <w14:ligatures w14:val="standardContextual"/>
        </w:rPr>
      </w:pPr>
      <w:hyperlink w:anchor="_Toc166499455" w:history="1">
        <w:r w:rsidRPr="00CF7DF0">
          <w:rPr>
            <w:rStyle w:val="Hyperlink"/>
            <w:lang w:val="en-US"/>
          </w:rPr>
          <w:t>Proposal 3: Wait until RAN2 implements the DL Timing Drift Report in order to decide whether the report is sufficient to guarantee that UE RX-TX measurement requirements are applicable even UE applies significant changes on its timing advance within the measurement period.</w:t>
        </w:r>
      </w:hyperlink>
    </w:p>
    <w:p w14:paraId="00A0EF07" w14:textId="447E024A" w:rsidR="00BD647D" w:rsidRDefault="00E34BBA" w:rsidP="00E34BBA">
      <w:pPr>
        <w:rPr>
          <w:lang w:val="en-US"/>
        </w:rPr>
      </w:pPr>
      <w:r>
        <w:fldChar w:fldCharType="end"/>
      </w:r>
    </w:p>
    <w:p w14:paraId="218CFCEE"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3"/>
    </w:p>
    <w:p w14:paraId="38CFFCE5" w14:textId="77777777" w:rsidR="004E7EC0" w:rsidRDefault="004E7EC0" w:rsidP="004E7EC0">
      <w:pPr>
        <w:numPr>
          <w:ilvl w:val="0"/>
          <w:numId w:val="21"/>
        </w:numPr>
        <w:overflowPunct w:val="0"/>
        <w:autoSpaceDE w:val="0"/>
        <w:autoSpaceDN w:val="0"/>
        <w:adjustRightInd w:val="0"/>
        <w:spacing w:after="0" w:line="240" w:lineRule="auto"/>
        <w:jc w:val="both"/>
        <w:textAlignment w:val="baseline"/>
      </w:pPr>
      <w:bookmarkStart w:id="14" w:name="_Ref114500673"/>
      <w:bookmarkStart w:id="15" w:name="_Ref54013899"/>
      <w:bookmarkStart w:id="16" w:name="_Ref141960737"/>
      <w:bookmarkStart w:id="17" w:name="_Ref118130196"/>
      <w:bookmarkStart w:id="18" w:name="_Ref158813489"/>
      <w:bookmarkEnd w:id="14"/>
      <w:r w:rsidRPr="00FD51CE">
        <w:t>RP-223534</w:t>
      </w:r>
      <w:r w:rsidRPr="00FF6B64">
        <w:t xml:space="preserve">, </w:t>
      </w:r>
      <w:bookmarkEnd w:id="15"/>
      <w:r w:rsidRPr="00917899">
        <w:rPr>
          <w:i/>
          <w:iCs/>
        </w:rPr>
        <w:t>“NR NTN (Non-Terrestrial Networks) enhancements”</w:t>
      </w:r>
      <w:r>
        <w:t>, Thales</w:t>
      </w:r>
      <w:bookmarkEnd w:id="16"/>
    </w:p>
    <w:p w14:paraId="396FF365" w14:textId="6776ADEE" w:rsidR="00665F71" w:rsidRDefault="00665F71" w:rsidP="004E7EC0">
      <w:pPr>
        <w:pStyle w:val="ListParagraph"/>
        <w:numPr>
          <w:ilvl w:val="0"/>
          <w:numId w:val="21"/>
        </w:numPr>
        <w:ind w:right="-22"/>
      </w:pPr>
      <w:bookmarkStart w:id="19" w:name="_Ref166075839"/>
      <w:bookmarkStart w:id="20" w:name="_Ref158818293"/>
      <w:bookmarkStart w:id="21" w:name="_Ref163487327"/>
      <w:r w:rsidRPr="00665F71">
        <w:t>R4-2406430</w:t>
      </w:r>
      <w:r>
        <w:t>, “</w:t>
      </w:r>
      <w:r w:rsidRPr="00665F71">
        <w:rPr>
          <w:i/>
          <w:iCs/>
        </w:rPr>
        <w:t xml:space="preserve">WF on RRM requirements for </w:t>
      </w:r>
      <w:proofErr w:type="spellStart"/>
      <w:r w:rsidRPr="00665F71">
        <w:rPr>
          <w:i/>
          <w:iCs/>
        </w:rPr>
        <w:t>NR_NTN_enh</w:t>
      </w:r>
      <w:proofErr w:type="spellEnd"/>
      <w:r>
        <w:rPr>
          <w:i/>
          <w:iCs/>
        </w:rPr>
        <w:t xml:space="preserve">”, </w:t>
      </w:r>
      <w:r w:rsidR="0076323D">
        <w:t xml:space="preserve">Qualcomm (Moderator), </w:t>
      </w:r>
      <w:r w:rsidRPr="00665F71">
        <w:t xml:space="preserve">Changsha, China, 15th – 19th </w:t>
      </w:r>
      <w:proofErr w:type="gramStart"/>
      <w:r w:rsidRPr="00665F71">
        <w:t>April,</w:t>
      </w:r>
      <w:proofErr w:type="gramEnd"/>
      <w:r w:rsidRPr="00665F71">
        <w:t xml:space="preserve"> 2024</w:t>
      </w:r>
      <w:bookmarkEnd w:id="19"/>
    </w:p>
    <w:p w14:paraId="2FEB02E6" w14:textId="3D588BAE" w:rsidR="0076323D" w:rsidRDefault="0076323D" w:rsidP="0076323D">
      <w:pPr>
        <w:pStyle w:val="ListParagraph"/>
        <w:numPr>
          <w:ilvl w:val="0"/>
          <w:numId w:val="21"/>
        </w:numPr>
        <w:ind w:right="-22"/>
      </w:pPr>
      <w:bookmarkStart w:id="22" w:name="_Ref166150500"/>
      <w:r w:rsidRPr="0076323D">
        <w:t>R4-2405750</w:t>
      </w:r>
      <w:r>
        <w:t>, “</w:t>
      </w:r>
      <w:r w:rsidRPr="0076323D">
        <w:rPr>
          <w:i/>
          <w:iCs/>
        </w:rPr>
        <w:t>Maintenance aspects of network verified UE location</w:t>
      </w:r>
      <w:r>
        <w:rPr>
          <w:i/>
          <w:iCs/>
        </w:rPr>
        <w:t xml:space="preserve">”, </w:t>
      </w:r>
      <w:r>
        <w:t>Nokia,</w:t>
      </w:r>
      <w:r>
        <w:rPr>
          <w:i/>
          <w:iCs/>
        </w:rPr>
        <w:t xml:space="preserve"> </w:t>
      </w:r>
      <w:r w:rsidRPr="00665F71">
        <w:t xml:space="preserve">Changsha, China, 15th – 19th </w:t>
      </w:r>
      <w:proofErr w:type="gramStart"/>
      <w:r w:rsidRPr="00665F71">
        <w:t>April,</w:t>
      </w:r>
      <w:proofErr w:type="gramEnd"/>
      <w:r w:rsidRPr="00665F71">
        <w:t xml:space="preserve"> 2024</w:t>
      </w:r>
      <w:bookmarkEnd w:id="22"/>
    </w:p>
    <w:p w14:paraId="0D50F812" w14:textId="77777777" w:rsidR="0076323D" w:rsidRDefault="0076323D" w:rsidP="0076323D">
      <w:pPr>
        <w:pStyle w:val="ListParagraph"/>
        <w:ind w:right="-22"/>
      </w:pPr>
    </w:p>
    <w:bookmarkEnd w:id="20"/>
    <w:bookmarkEnd w:id="21"/>
    <w:bookmarkEnd w:id="17"/>
    <w:bookmarkEnd w:id="18"/>
    <w:p w14:paraId="6C26B3FD" w14:textId="44B710F8" w:rsidR="00E43BF9" w:rsidRPr="00372776" w:rsidRDefault="00E43BF9" w:rsidP="00BE0502">
      <w:pPr>
        <w:ind w:right="-22"/>
      </w:pPr>
    </w:p>
    <w:sectPr w:rsidR="00E43BF9" w:rsidRPr="00372776" w:rsidSect="00667F5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E6C58" w14:textId="77777777" w:rsidR="00667F53" w:rsidRDefault="00667F53" w:rsidP="00001C9B">
      <w:pPr>
        <w:spacing w:after="0" w:line="240" w:lineRule="auto"/>
      </w:pPr>
      <w:r>
        <w:separator/>
      </w:r>
    </w:p>
  </w:endnote>
  <w:endnote w:type="continuationSeparator" w:id="0">
    <w:p w14:paraId="06AB8CA9" w14:textId="77777777" w:rsidR="00667F53" w:rsidRDefault="00667F53" w:rsidP="00001C9B">
      <w:pPr>
        <w:spacing w:after="0" w:line="240" w:lineRule="auto"/>
      </w:pPr>
      <w:r>
        <w:continuationSeparator/>
      </w:r>
    </w:p>
  </w:endnote>
  <w:endnote w:type="continuationNotice" w:id="1">
    <w:p w14:paraId="73B8B923" w14:textId="77777777" w:rsidR="009151DE" w:rsidRDefault="009151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67F71" w14:textId="77777777" w:rsidR="00667F53" w:rsidRDefault="00667F53" w:rsidP="00001C9B">
      <w:pPr>
        <w:spacing w:after="0" w:line="240" w:lineRule="auto"/>
      </w:pPr>
      <w:r>
        <w:separator/>
      </w:r>
    </w:p>
  </w:footnote>
  <w:footnote w:type="continuationSeparator" w:id="0">
    <w:p w14:paraId="49CAD70D" w14:textId="77777777" w:rsidR="00667F53" w:rsidRDefault="00667F53" w:rsidP="00001C9B">
      <w:pPr>
        <w:spacing w:after="0" w:line="240" w:lineRule="auto"/>
      </w:pPr>
      <w:r>
        <w:continuationSeparator/>
      </w:r>
    </w:p>
  </w:footnote>
  <w:footnote w:type="continuationNotice" w:id="1">
    <w:p w14:paraId="3B807438" w14:textId="77777777" w:rsidR="009151DE" w:rsidRDefault="009151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650F93"/>
    <w:multiLevelType w:val="hybridMultilevel"/>
    <w:tmpl w:val="B2D4F82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A2B54"/>
    <w:multiLevelType w:val="hybridMultilevel"/>
    <w:tmpl w:val="DDAE0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CE79C1"/>
    <w:multiLevelType w:val="hybridMultilevel"/>
    <w:tmpl w:val="45A09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50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BBE2AAD"/>
    <w:multiLevelType w:val="hybridMultilevel"/>
    <w:tmpl w:val="BEC2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3"/>
  </w:num>
  <w:num w:numId="4" w16cid:durableId="517735681">
    <w:abstractNumId w:val="6"/>
  </w:num>
  <w:num w:numId="5" w16cid:durableId="1142041724">
    <w:abstractNumId w:val="17"/>
  </w:num>
  <w:num w:numId="6" w16cid:durableId="80681869">
    <w:abstractNumId w:val="10"/>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0"/>
    <w:lvlOverride w:ilvl="0">
      <w:startOverride w:val="1"/>
    </w:lvlOverride>
  </w:num>
  <w:num w:numId="12" w16cid:durableId="122584543">
    <w:abstractNumId w:val="12"/>
    <w:lvlOverride w:ilvl="0">
      <w:startOverride w:val="1"/>
    </w:lvlOverride>
  </w:num>
  <w:num w:numId="13" w16cid:durableId="818807267">
    <w:abstractNumId w:val="10"/>
    <w:lvlOverride w:ilvl="0">
      <w:startOverride w:val="1"/>
    </w:lvlOverride>
  </w:num>
  <w:num w:numId="14" w16cid:durableId="883829348">
    <w:abstractNumId w:val="12"/>
    <w:lvlOverride w:ilvl="0">
      <w:startOverride w:val="1"/>
    </w:lvlOverride>
  </w:num>
  <w:num w:numId="15" w16cid:durableId="438372887">
    <w:abstractNumId w:val="19"/>
  </w:num>
  <w:num w:numId="16" w16cid:durableId="516113510">
    <w:abstractNumId w:val="5"/>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893927055">
    <w:abstractNumId w:val="2"/>
  </w:num>
  <w:num w:numId="28" w16cid:durableId="768963453">
    <w:abstractNumId w:val="16"/>
  </w:num>
  <w:num w:numId="29" w16cid:durableId="843668308">
    <w:abstractNumId w:val="18"/>
  </w:num>
  <w:num w:numId="30" w16cid:durableId="1061708403">
    <w:abstractNumId w:val="8"/>
  </w:num>
  <w:num w:numId="31" w16cid:durableId="1625189463">
    <w:abstractNumId w:val="4"/>
  </w:num>
  <w:num w:numId="32" w16cid:durableId="3780929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667F53"/>
    <w:rsid w:val="00001BD6"/>
    <w:rsid w:val="00001C9B"/>
    <w:rsid w:val="000040DC"/>
    <w:rsid w:val="00011784"/>
    <w:rsid w:val="000151EF"/>
    <w:rsid w:val="000239F5"/>
    <w:rsid w:val="00072CCA"/>
    <w:rsid w:val="0008612A"/>
    <w:rsid w:val="00090E18"/>
    <w:rsid w:val="000A10BC"/>
    <w:rsid w:val="000A7F53"/>
    <w:rsid w:val="000B0056"/>
    <w:rsid w:val="000C3C7B"/>
    <w:rsid w:val="000C3DDF"/>
    <w:rsid w:val="000D0F93"/>
    <w:rsid w:val="00106416"/>
    <w:rsid w:val="00110481"/>
    <w:rsid w:val="001127C9"/>
    <w:rsid w:val="00114498"/>
    <w:rsid w:val="00115B88"/>
    <w:rsid w:val="00122F95"/>
    <w:rsid w:val="00132F6A"/>
    <w:rsid w:val="00133913"/>
    <w:rsid w:val="00140221"/>
    <w:rsid w:val="001642FC"/>
    <w:rsid w:val="0016496B"/>
    <w:rsid w:val="001743E2"/>
    <w:rsid w:val="001745F8"/>
    <w:rsid w:val="001838CF"/>
    <w:rsid w:val="001868EE"/>
    <w:rsid w:val="00186AAD"/>
    <w:rsid w:val="00192557"/>
    <w:rsid w:val="001A3BA4"/>
    <w:rsid w:val="001A6D1F"/>
    <w:rsid w:val="001B1EA8"/>
    <w:rsid w:val="001C5F50"/>
    <w:rsid w:val="001E30F6"/>
    <w:rsid w:val="001F7DA6"/>
    <w:rsid w:val="00217EE5"/>
    <w:rsid w:val="00235F5C"/>
    <w:rsid w:val="00257FA3"/>
    <w:rsid w:val="00277B56"/>
    <w:rsid w:val="00282A74"/>
    <w:rsid w:val="002849D4"/>
    <w:rsid w:val="002A19F5"/>
    <w:rsid w:val="002B4922"/>
    <w:rsid w:val="002B69F3"/>
    <w:rsid w:val="002C22C3"/>
    <w:rsid w:val="002C2D19"/>
    <w:rsid w:val="002D10FA"/>
    <w:rsid w:val="002D4C55"/>
    <w:rsid w:val="002E6DED"/>
    <w:rsid w:val="00300956"/>
    <w:rsid w:val="003112C0"/>
    <w:rsid w:val="00317187"/>
    <w:rsid w:val="0032499A"/>
    <w:rsid w:val="003341F7"/>
    <w:rsid w:val="00347FEC"/>
    <w:rsid w:val="003509DF"/>
    <w:rsid w:val="00356F45"/>
    <w:rsid w:val="00366B74"/>
    <w:rsid w:val="00372776"/>
    <w:rsid w:val="00372D55"/>
    <w:rsid w:val="00381F95"/>
    <w:rsid w:val="003A710A"/>
    <w:rsid w:val="003B659E"/>
    <w:rsid w:val="003C275E"/>
    <w:rsid w:val="003C4FDE"/>
    <w:rsid w:val="003E58DF"/>
    <w:rsid w:val="00404C4C"/>
    <w:rsid w:val="0041423F"/>
    <w:rsid w:val="00414A70"/>
    <w:rsid w:val="00414F81"/>
    <w:rsid w:val="004159C2"/>
    <w:rsid w:val="00424A1C"/>
    <w:rsid w:val="00436A0F"/>
    <w:rsid w:val="00437150"/>
    <w:rsid w:val="0043750A"/>
    <w:rsid w:val="00447577"/>
    <w:rsid w:val="004732E9"/>
    <w:rsid w:val="004854BB"/>
    <w:rsid w:val="00486DAA"/>
    <w:rsid w:val="0049393F"/>
    <w:rsid w:val="00494493"/>
    <w:rsid w:val="00496606"/>
    <w:rsid w:val="004E5E66"/>
    <w:rsid w:val="004E7ADB"/>
    <w:rsid w:val="004E7EC0"/>
    <w:rsid w:val="00503B4D"/>
    <w:rsid w:val="00504B65"/>
    <w:rsid w:val="00504EE9"/>
    <w:rsid w:val="00514E4F"/>
    <w:rsid w:val="00521576"/>
    <w:rsid w:val="00522856"/>
    <w:rsid w:val="005250E6"/>
    <w:rsid w:val="00542D23"/>
    <w:rsid w:val="0054442C"/>
    <w:rsid w:val="0054577E"/>
    <w:rsid w:val="00550285"/>
    <w:rsid w:val="00560A44"/>
    <w:rsid w:val="00562492"/>
    <w:rsid w:val="00572A20"/>
    <w:rsid w:val="005836F8"/>
    <w:rsid w:val="005918FA"/>
    <w:rsid w:val="00592A86"/>
    <w:rsid w:val="005B3029"/>
    <w:rsid w:val="005B4801"/>
    <w:rsid w:val="005C23A4"/>
    <w:rsid w:val="005D1CDF"/>
    <w:rsid w:val="005D2BB7"/>
    <w:rsid w:val="005D6FFE"/>
    <w:rsid w:val="005E61A8"/>
    <w:rsid w:val="005F6419"/>
    <w:rsid w:val="0060301D"/>
    <w:rsid w:val="0060543D"/>
    <w:rsid w:val="006104DD"/>
    <w:rsid w:val="006130B5"/>
    <w:rsid w:val="00614DD8"/>
    <w:rsid w:val="00616501"/>
    <w:rsid w:val="00617400"/>
    <w:rsid w:val="006308C2"/>
    <w:rsid w:val="00632087"/>
    <w:rsid w:val="00632D29"/>
    <w:rsid w:val="00664950"/>
    <w:rsid w:val="00665F71"/>
    <w:rsid w:val="00667F53"/>
    <w:rsid w:val="00683220"/>
    <w:rsid w:val="00683C36"/>
    <w:rsid w:val="00687FA0"/>
    <w:rsid w:val="006A3C11"/>
    <w:rsid w:val="006B7010"/>
    <w:rsid w:val="006C3095"/>
    <w:rsid w:val="006E1151"/>
    <w:rsid w:val="006E6311"/>
    <w:rsid w:val="007145FF"/>
    <w:rsid w:val="00715B2A"/>
    <w:rsid w:val="00733B21"/>
    <w:rsid w:val="007450F1"/>
    <w:rsid w:val="00746507"/>
    <w:rsid w:val="00751515"/>
    <w:rsid w:val="007626B7"/>
    <w:rsid w:val="0076323D"/>
    <w:rsid w:val="0078212B"/>
    <w:rsid w:val="00784DF6"/>
    <w:rsid w:val="00785232"/>
    <w:rsid w:val="007B186C"/>
    <w:rsid w:val="007B7198"/>
    <w:rsid w:val="007C1696"/>
    <w:rsid w:val="007C3ED0"/>
    <w:rsid w:val="007C48C4"/>
    <w:rsid w:val="007C5971"/>
    <w:rsid w:val="007D4BF6"/>
    <w:rsid w:val="007E42DC"/>
    <w:rsid w:val="007F54B9"/>
    <w:rsid w:val="00806A76"/>
    <w:rsid w:val="00811C9D"/>
    <w:rsid w:val="00816C80"/>
    <w:rsid w:val="0081797B"/>
    <w:rsid w:val="00841BCD"/>
    <w:rsid w:val="00847264"/>
    <w:rsid w:val="00851A8E"/>
    <w:rsid w:val="0085365B"/>
    <w:rsid w:val="008826C1"/>
    <w:rsid w:val="00883DFD"/>
    <w:rsid w:val="00883F23"/>
    <w:rsid w:val="0089210C"/>
    <w:rsid w:val="00893D2E"/>
    <w:rsid w:val="008A1BF7"/>
    <w:rsid w:val="008A5B0E"/>
    <w:rsid w:val="008B0961"/>
    <w:rsid w:val="008C39F7"/>
    <w:rsid w:val="008C3B6C"/>
    <w:rsid w:val="0090091A"/>
    <w:rsid w:val="009042BD"/>
    <w:rsid w:val="00904FE4"/>
    <w:rsid w:val="009151DE"/>
    <w:rsid w:val="00927740"/>
    <w:rsid w:val="009302C1"/>
    <w:rsid w:val="00936159"/>
    <w:rsid w:val="00977E1D"/>
    <w:rsid w:val="00982E2F"/>
    <w:rsid w:val="009B0573"/>
    <w:rsid w:val="009B7B4B"/>
    <w:rsid w:val="009B7C21"/>
    <w:rsid w:val="009E4E6E"/>
    <w:rsid w:val="009F495D"/>
    <w:rsid w:val="00A04992"/>
    <w:rsid w:val="00A04D82"/>
    <w:rsid w:val="00A147AA"/>
    <w:rsid w:val="00A21D71"/>
    <w:rsid w:val="00A22B78"/>
    <w:rsid w:val="00A246F7"/>
    <w:rsid w:val="00A25AE5"/>
    <w:rsid w:val="00A26442"/>
    <w:rsid w:val="00A37002"/>
    <w:rsid w:val="00A4355E"/>
    <w:rsid w:val="00A520D9"/>
    <w:rsid w:val="00A64DA0"/>
    <w:rsid w:val="00A92BCD"/>
    <w:rsid w:val="00AA1B0E"/>
    <w:rsid w:val="00AA47B6"/>
    <w:rsid w:val="00AC163B"/>
    <w:rsid w:val="00AC5CA7"/>
    <w:rsid w:val="00AC6058"/>
    <w:rsid w:val="00AE2BA5"/>
    <w:rsid w:val="00AE56B1"/>
    <w:rsid w:val="00AE6D09"/>
    <w:rsid w:val="00AF7A7C"/>
    <w:rsid w:val="00B02070"/>
    <w:rsid w:val="00B408B6"/>
    <w:rsid w:val="00B542DA"/>
    <w:rsid w:val="00B557F7"/>
    <w:rsid w:val="00B60585"/>
    <w:rsid w:val="00B73862"/>
    <w:rsid w:val="00B73F43"/>
    <w:rsid w:val="00B75BBF"/>
    <w:rsid w:val="00B81CDC"/>
    <w:rsid w:val="00BA308C"/>
    <w:rsid w:val="00BA6B66"/>
    <w:rsid w:val="00BA6E48"/>
    <w:rsid w:val="00BB7CB2"/>
    <w:rsid w:val="00BD647D"/>
    <w:rsid w:val="00BE0502"/>
    <w:rsid w:val="00BE0AF6"/>
    <w:rsid w:val="00BE1F03"/>
    <w:rsid w:val="00BE58A7"/>
    <w:rsid w:val="00BF2218"/>
    <w:rsid w:val="00C0426B"/>
    <w:rsid w:val="00C045DF"/>
    <w:rsid w:val="00C238E7"/>
    <w:rsid w:val="00C26D43"/>
    <w:rsid w:val="00C35173"/>
    <w:rsid w:val="00C46548"/>
    <w:rsid w:val="00C52756"/>
    <w:rsid w:val="00C574D5"/>
    <w:rsid w:val="00C73F32"/>
    <w:rsid w:val="00C87462"/>
    <w:rsid w:val="00CA180C"/>
    <w:rsid w:val="00CA519F"/>
    <w:rsid w:val="00CB22B2"/>
    <w:rsid w:val="00CC3EE2"/>
    <w:rsid w:val="00CD7492"/>
    <w:rsid w:val="00CE3A6B"/>
    <w:rsid w:val="00D00211"/>
    <w:rsid w:val="00D006D1"/>
    <w:rsid w:val="00D025AE"/>
    <w:rsid w:val="00D06309"/>
    <w:rsid w:val="00D257BE"/>
    <w:rsid w:val="00D321ED"/>
    <w:rsid w:val="00D351EA"/>
    <w:rsid w:val="00D40288"/>
    <w:rsid w:val="00D43403"/>
    <w:rsid w:val="00D50A6B"/>
    <w:rsid w:val="00D5270B"/>
    <w:rsid w:val="00D62E71"/>
    <w:rsid w:val="00D6430D"/>
    <w:rsid w:val="00D66188"/>
    <w:rsid w:val="00D731F6"/>
    <w:rsid w:val="00D740CA"/>
    <w:rsid w:val="00D81248"/>
    <w:rsid w:val="00D85728"/>
    <w:rsid w:val="00D95481"/>
    <w:rsid w:val="00DB09F3"/>
    <w:rsid w:val="00DC7A13"/>
    <w:rsid w:val="00DE7064"/>
    <w:rsid w:val="00DF2997"/>
    <w:rsid w:val="00E10BC4"/>
    <w:rsid w:val="00E1415D"/>
    <w:rsid w:val="00E213BD"/>
    <w:rsid w:val="00E24604"/>
    <w:rsid w:val="00E323E9"/>
    <w:rsid w:val="00E32FB6"/>
    <w:rsid w:val="00E34018"/>
    <w:rsid w:val="00E34BBA"/>
    <w:rsid w:val="00E35FDE"/>
    <w:rsid w:val="00E437D2"/>
    <w:rsid w:val="00E43BF9"/>
    <w:rsid w:val="00E51930"/>
    <w:rsid w:val="00E55751"/>
    <w:rsid w:val="00E7398E"/>
    <w:rsid w:val="00EA2311"/>
    <w:rsid w:val="00EB64C5"/>
    <w:rsid w:val="00EC7BC3"/>
    <w:rsid w:val="00ED7600"/>
    <w:rsid w:val="00EF6073"/>
    <w:rsid w:val="00EF698B"/>
    <w:rsid w:val="00F1362C"/>
    <w:rsid w:val="00F414F1"/>
    <w:rsid w:val="00F508B8"/>
    <w:rsid w:val="00F72CB1"/>
    <w:rsid w:val="00F8215E"/>
    <w:rsid w:val="00F824F5"/>
    <w:rsid w:val="00F90FAB"/>
    <w:rsid w:val="00F9374D"/>
    <w:rsid w:val="00FA058E"/>
    <w:rsid w:val="00FA0EEE"/>
    <w:rsid w:val="00FB4743"/>
    <w:rsid w:val="00FC29B9"/>
    <w:rsid w:val="00FC6FD3"/>
    <w:rsid w:val="00FE305C"/>
    <w:rsid w:val="00FE4BB0"/>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10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0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616501"/>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 w:hAnsi="@SimSu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PLChar">
    <w:name w:val="PL Char"/>
    <w:link w:val="PL"/>
    <w:qFormat/>
    <w:locked/>
    <w:rsid w:val="00122F9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122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B1Char">
    <w:name w:val="B1 Char"/>
    <w:link w:val="B1"/>
    <w:qFormat/>
    <w:locked/>
    <w:rsid w:val="009302C1"/>
    <w:rPr>
      <w:rFonts w:ascii="Times New Roman" w:hAnsi="Times New Roman" w:cs="Times New Roman"/>
      <w:lang w:val="en-GB"/>
    </w:rPr>
  </w:style>
  <w:style w:type="paragraph" w:customStyle="1" w:styleId="B1">
    <w:name w:val="B1"/>
    <w:basedOn w:val="List"/>
    <w:link w:val="B1Char"/>
    <w:qFormat/>
    <w:rsid w:val="009302C1"/>
    <w:pPr>
      <w:spacing w:after="180" w:line="240" w:lineRule="auto"/>
      <w:ind w:left="568" w:hanging="284"/>
      <w:contextualSpacing w:val="0"/>
    </w:pPr>
    <w:rPr>
      <w:rFonts w:cs="Times New Roman"/>
      <w:sz w:val="22"/>
    </w:rPr>
  </w:style>
  <w:style w:type="paragraph" w:styleId="List">
    <w:name w:val="List"/>
    <w:basedOn w:val="Normal"/>
    <w:uiPriority w:val="99"/>
    <w:semiHidden/>
    <w:unhideWhenUsed/>
    <w:rsid w:val="009302C1"/>
    <w:pPr>
      <w:ind w:left="283" w:hanging="283"/>
      <w:contextualSpacing/>
    </w:pPr>
  </w:style>
  <w:style w:type="character" w:customStyle="1" w:styleId="CaptionChar1">
    <w:name w:val="Caption Char1"/>
    <w:aliases w:val="cap Char1,cap Char Char,Caption Char Char,Caption Char1 Char Char,cap Char Char1 Char,Caption Char Char1 Char Char,cap Char2 Char,题注 Char"/>
    <w:uiPriority w:val="35"/>
    <w:semiHidden/>
    <w:locked/>
    <w:rsid w:val="00414A70"/>
    <w:rPr>
      <w:b/>
      <w:kern w:val="2"/>
      <w:lang w:val="en-GB"/>
      <w14:ligatures w14:val="standardContextual"/>
    </w:rPr>
  </w:style>
  <w:style w:type="paragraph" w:styleId="Header">
    <w:name w:val="header"/>
    <w:basedOn w:val="Normal"/>
    <w:link w:val="HeaderChar"/>
    <w:uiPriority w:val="99"/>
    <w:unhideWhenUsed/>
    <w:rsid w:val="009151DE"/>
    <w:pPr>
      <w:tabs>
        <w:tab w:val="center" w:pos="4819"/>
        <w:tab w:val="right" w:pos="9638"/>
      </w:tabs>
      <w:spacing w:after="0" w:line="240" w:lineRule="auto"/>
    </w:pPr>
  </w:style>
  <w:style w:type="character" w:customStyle="1" w:styleId="HeaderChar">
    <w:name w:val="Header Char"/>
    <w:basedOn w:val="DefaultParagraphFont"/>
    <w:link w:val="Header"/>
    <w:uiPriority w:val="99"/>
    <w:rsid w:val="009151DE"/>
    <w:rPr>
      <w:rFonts w:ascii="Times New Roman" w:hAnsi="Times New Roman"/>
      <w:sz w:val="20"/>
      <w:lang w:val="en-GB"/>
    </w:rPr>
  </w:style>
  <w:style w:type="paragraph" w:styleId="Footer">
    <w:name w:val="footer"/>
    <w:basedOn w:val="Normal"/>
    <w:link w:val="FooterChar"/>
    <w:uiPriority w:val="99"/>
    <w:unhideWhenUsed/>
    <w:rsid w:val="009151DE"/>
    <w:pPr>
      <w:tabs>
        <w:tab w:val="center" w:pos="4819"/>
        <w:tab w:val="right" w:pos="9638"/>
      </w:tabs>
      <w:spacing w:after="0" w:line="240" w:lineRule="auto"/>
    </w:pPr>
  </w:style>
  <w:style w:type="character" w:customStyle="1" w:styleId="FooterChar">
    <w:name w:val="Footer Char"/>
    <w:basedOn w:val="DefaultParagraphFont"/>
    <w:link w:val="Footer"/>
    <w:uiPriority w:val="99"/>
    <w:rsid w:val="009151DE"/>
    <w:rPr>
      <w:rFonts w:ascii="Times New Roman" w:hAnsi="Times New Roman"/>
      <w:sz w:val="20"/>
      <w:lang w:val="en-GB"/>
    </w:rPr>
  </w:style>
  <w:style w:type="paragraph" w:customStyle="1" w:styleId="TAL">
    <w:name w:val="TAL"/>
    <w:basedOn w:val="Normal"/>
    <w:link w:val="TALCar"/>
    <w:qFormat/>
    <w:rsid w:val="00CA519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character" w:customStyle="1" w:styleId="TALCar">
    <w:name w:val="TAL Car"/>
    <w:link w:val="TAL"/>
    <w:qFormat/>
    <w:rsid w:val="00CA519F"/>
    <w:rPr>
      <w:rFonts w:ascii="Arial" w:eastAsia="Times New Roman" w:hAnsi="Arial" w:cs="Times New Roman"/>
      <w:sz w:val="18"/>
      <w:szCs w:val="20"/>
      <w:lang w:val="en-GB" w:eastAsia="ja-JP"/>
    </w:rPr>
  </w:style>
  <w:style w:type="character" w:customStyle="1" w:styleId="THChar">
    <w:name w:val="TH Char"/>
    <w:basedOn w:val="DefaultParagraphFont"/>
    <w:link w:val="TH"/>
    <w:locked/>
    <w:rsid w:val="00DB09F3"/>
    <w:rPr>
      <w:rFonts w:ascii="Arial" w:hAnsi="Arial" w:cs="Arial"/>
      <w:b/>
      <w:bCs/>
      <w:lang w:eastAsia="x-none"/>
    </w:rPr>
  </w:style>
  <w:style w:type="paragraph" w:customStyle="1" w:styleId="TH">
    <w:name w:val="TH"/>
    <w:basedOn w:val="Normal"/>
    <w:link w:val="THChar"/>
    <w:rsid w:val="00DB09F3"/>
    <w:pPr>
      <w:keepNext/>
      <w:overflowPunct w:val="0"/>
      <w:autoSpaceDE w:val="0"/>
      <w:autoSpaceDN w:val="0"/>
      <w:spacing w:before="60" w:after="180" w:line="240" w:lineRule="auto"/>
      <w:jc w:val="center"/>
    </w:pPr>
    <w:rPr>
      <w:rFonts w:ascii="Arial" w:hAnsi="Arial" w:cs="Arial"/>
      <w:b/>
      <w:bCs/>
      <w:sz w:val="22"/>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2742">
      <w:bodyDiv w:val="1"/>
      <w:marLeft w:val="0"/>
      <w:marRight w:val="0"/>
      <w:marTop w:val="0"/>
      <w:marBottom w:val="0"/>
      <w:divBdr>
        <w:top w:val="none" w:sz="0" w:space="0" w:color="auto"/>
        <w:left w:val="none" w:sz="0" w:space="0" w:color="auto"/>
        <w:bottom w:val="none" w:sz="0" w:space="0" w:color="auto"/>
        <w:right w:val="none" w:sz="0" w:space="0" w:color="auto"/>
      </w:divBdr>
    </w:div>
    <w:div w:id="499081123">
      <w:bodyDiv w:val="1"/>
      <w:marLeft w:val="0"/>
      <w:marRight w:val="0"/>
      <w:marTop w:val="0"/>
      <w:marBottom w:val="0"/>
      <w:divBdr>
        <w:top w:val="none" w:sz="0" w:space="0" w:color="auto"/>
        <w:left w:val="none" w:sz="0" w:space="0" w:color="auto"/>
        <w:bottom w:val="none" w:sz="0" w:space="0" w:color="auto"/>
        <w:right w:val="none" w:sz="0" w:space="0" w:color="auto"/>
      </w:divBdr>
    </w:div>
    <w:div w:id="798688478">
      <w:bodyDiv w:val="1"/>
      <w:marLeft w:val="0"/>
      <w:marRight w:val="0"/>
      <w:marTop w:val="0"/>
      <w:marBottom w:val="0"/>
      <w:divBdr>
        <w:top w:val="none" w:sz="0" w:space="0" w:color="auto"/>
        <w:left w:val="none" w:sz="0" w:space="0" w:color="auto"/>
        <w:bottom w:val="none" w:sz="0" w:space="0" w:color="auto"/>
        <w:right w:val="none" w:sz="0" w:space="0" w:color="auto"/>
      </w:divBdr>
    </w:div>
    <w:div w:id="1088691371">
      <w:bodyDiv w:val="1"/>
      <w:marLeft w:val="0"/>
      <w:marRight w:val="0"/>
      <w:marTop w:val="0"/>
      <w:marBottom w:val="0"/>
      <w:divBdr>
        <w:top w:val="none" w:sz="0" w:space="0" w:color="auto"/>
        <w:left w:val="none" w:sz="0" w:space="0" w:color="auto"/>
        <w:bottom w:val="none" w:sz="0" w:space="0" w:color="auto"/>
        <w:right w:val="none" w:sz="0" w:space="0" w:color="auto"/>
      </w:divBdr>
    </w:div>
    <w:div w:id="1334911416">
      <w:bodyDiv w:val="1"/>
      <w:marLeft w:val="0"/>
      <w:marRight w:val="0"/>
      <w:marTop w:val="0"/>
      <w:marBottom w:val="0"/>
      <w:divBdr>
        <w:top w:val="none" w:sz="0" w:space="0" w:color="auto"/>
        <w:left w:val="none" w:sz="0" w:space="0" w:color="auto"/>
        <w:bottom w:val="none" w:sz="0" w:space="0" w:color="auto"/>
        <w:right w:val="none" w:sz="0" w:space="0" w:color="auto"/>
      </w:divBdr>
    </w:div>
    <w:div w:id="1508978193">
      <w:bodyDiv w:val="1"/>
      <w:marLeft w:val="0"/>
      <w:marRight w:val="0"/>
      <w:marTop w:val="0"/>
      <w:marBottom w:val="0"/>
      <w:divBdr>
        <w:top w:val="none" w:sz="0" w:space="0" w:color="auto"/>
        <w:left w:val="none" w:sz="0" w:space="0" w:color="auto"/>
        <w:bottom w:val="none" w:sz="0" w:space="0" w:color="auto"/>
        <w:right w:val="none" w:sz="0" w:space="0" w:color="auto"/>
      </w:divBdr>
    </w:div>
    <w:div w:id="1600945804">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83672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RBI5PAMIO524-1616901215-21942</_dlc_DocId>
    <HideFromDelve xmlns="71c5aaf6-e6ce-465b-b873-5148d2a4c105">false</HideFromDelve>
    <Comments xmlns="3f2ce089-3858-4176-9a21-a30f9204848e">OK</Comments>
    <_dlc_DocIdUrl xmlns="71c5aaf6-e6ce-465b-b873-5148d2a4c105">
      <Url>https://nokia.sharepoint.com/sites/gxp/_layouts/15/DocIdRedir.aspx?ID=RBI5PAMIO524-1616901215-21942</Url>
      <Description>RBI5PAMIO524-1616901215-21942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67356F47-03C5-44BB-A42F-33CF2690B4F0}"/>
</file>

<file path=customXml/itemProps3.xml><?xml version="1.0" encoding="utf-8"?>
<ds:datastoreItem xmlns:ds="http://schemas.openxmlformats.org/officeDocument/2006/customXml" ds:itemID="{D1CBCA1D-3ABD-49B8-8ECF-6EBB43C49DCA}"/>
</file>

<file path=customXml/itemProps4.xml><?xml version="1.0" encoding="utf-8"?>
<ds:datastoreItem xmlns:ds="http://schemas.openxmlformats.org/officeDocument/2006/customXml" ds:itemID="{60146841-01C8-473F-AA87-F709080539B1}"/>
</file>

<file path=customXml/itemProps5.xml><?xml version="1.0" encoding="utf-8"?>
<ds:datastoreItem xmlns:ds="http://schemas.openxmlformats.org/officeDocument/2006/customXml" ds:itemID="{F4974980-A4D4-4D19-9E62-E072863721E0}"/>
</file>

<file path=customXml/itemProps6.xml><?xml version="1.0" encoding="utf-8"?>
<ds:datastoreItem xmlns:ds="http://schemas.openxmlformats.org/officeDocument/2006/customXml" ds:itemID="{69056024-9EF0-48F4-9B48-2AE33D04ABE7}"/>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1561</Words>
  <Characters>8902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2024-05-13T11:32:00Z</dcterms:created>
  <dcterms:modified xsi:type="dcterms:W3CDTF">2024-05-13T11:32:00Z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464eb42f-17dc-4f01-835b-46bb7517c462</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